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818E" w14:textId="11784D2D" w:rsidR="00E34E9A" w:rsidRPr="001C6A63" w:rsidRDefault="00661259">
      <w:pPr>
        <w:rPr>
          <w:rFonts w:cs="Arial"/>
          <w:b/>
        </w:rPr>
      </w:pPr>
      <w:r>
        <w:rPr>
          <w:rFonts w:cs="Arial"/>
          <w:b/>
        </w:rPr>
        <w:t>Children, Education and Skills</w:t>
      </w:r>
      <w:r w:rsidR="00CB5381" w:rsidRPr="001C6A63">
        <w:rPr>
          <w:rFonts w:cs="Arial"/>
          <w:b/>
        </w:rPr>
        <w:t xml:space="preserve"> Directorate</w:t>
      </w:r>
      <w:r>
        <w:rPr>
          <w:rFonts w:cs="Arial"/>
          <w:b/>
        </w:rPr>
        <w:t xml:space="preserve">           </w:t>
      </w:r>
    </w:p>
    <w:p w14:paraId="0602E3AE" w14:textId="539CFCD9" w:rsidR="00E34E9A" w:rsidRPr="001C6A63" w:rsidRDefault="000930C6">
      <w:pPr>
        <w:rPr>
          <w:rFonts w:cs="Arial"/>
          <w:noProof/>
        </w:rPr>
      </w:pPr>
      <w:r w:rsidRPr="001C6A63">
        <w:rPr>
          <w:rFonts w:cs="Arial"/>
          <w:noProof/>
        </w:rPr>
        <w:t xml:space="preserve">                   </w:t>
      </w:r>
      <w:r w:rsidR="00E34E9A" w:rsidRPr="001C6A63">
        <w:rPr>
          <w:rFonts w:cs="Arial"/>
          <w:noProof/>
        </w:rPr>
        <w:t xml:space="preserve">      </w:t>
      </w:r>
      <w:r w:rsidR="00661259">
        <w:rPr>
          <w:rFonts w:cs="Arial"/>
          <w:noProof/>
        </w:rPr>
        <w:t xml:space="preserve">                                                                                                                 </w:t>
      </w:r>
      <w:r w:rsidR="00E34E9A" w:rsidRPr="001C6A63">
        <w:rPr>
          <w:rFonts w:cs="Arial"/>
          <w:noProof/>
        </w:rPr>
        <w:t xml:space="preserve">  </w:t>
      </w:r>
      <w:r w:rsidR="00661259" w:rsidRPr="00661259">
        <w:rPr>
          <w:noProof/>
          <w:sz w:val="22"/>
          <w:szCs w:val="22"/>
        </w:rPr>
        <w:drawing>
          <wp:inline distT="0" distB="0" distL="0" distR="0" wp14:anchorId="7D228625" wp14:editId="4AD47518">
            <wp:extent cx="2251075" cy="562610"/>
            <wp:effectExtent l="0" t="0" r="0" b="0"/>
            <wp:docPr id="1" name="Picture 4" descr="n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3B71" w14:textId="77777777" w:rsidR="00E34E9A" w:rsidRPr="001C6A63" w:rsidRDefault="00E34E9A">
      <w:pPr>
        <w:rPr>
          <w:rFonts w:cs="Arial"/>
          <w:b/>
        </w:rPr>
      </w:pPr>
    </w:p>
    <w:p w14:paraId="70261E7D" w14:textId="77777777" w:rsidR="00CB5381" w:rsidRPr="001C6A63" w:rsidRDefault="00CB5381" w:rsidP="00CB5381">
      <w:pPr>
        <w:rPr>
          <w:rFonts w:cs="Arial"/>
          <w:b/>
        </w:rPr>
      </w:pPr>
    </w:p>
    <w:p w14:paraId="016C8358" w14:textId="77777777" w:rsidR="00E667B6" w:rsidRPr="001C6A63" w:rsidRDefault="00CB4A2C" w:rsidP="00CB5381">
      <w:pPr>
        <w:rPr>
          <w:rFonts w:cs="Arial"/>
          <w:b/>
        </w:rPr>
      </w:pPr>
      <w:r w:rsidRPr="001C6A63">
        <w:rPr>
          <w:rFonts w:cs="Arial"/>
          <w:b/>
        </w:rPr>
        <w:t xml:space="preserve">Guidance for </w:t>
      </w:r>
      <w:r w:rsidR="009D10E1" w:rsidRPr="001C6A63">
        <w:rPr>
          <w:rFonts w:cs="Arial"/>
          <w:b/>
        </w:rPr>
        <w:t xml:space="preserve">placing </w:t>
      </w:r>
      <w:r w:rsidR="00E34E9A" w:rsidRPr="001C6A63">
        <w:rPr>
          <w:rFonts w:cs="Arial"/>
          <w:b/>
        </w:rPr>
        <w:t>pupils</w:t>
      </w:r>
      <w:r w:rsidR="00F81A09" w:rsidRPr="001C6A63">
        <w:rPr>
          <w:rFonts w:cs="Arial"/>
          <w:b/>
        </w:rPr>
        <w:t xml:space="preserve"> at </w:t>
      </w:r>
      <w:r w:rsidR="00E34E9A" w:rsidRPr="001C6A63">
        <w:rPr>
          <w:rFonts w:cs="Arial"/>
          <w:b/>
        </w:rPr>
        <w:t xml:space="preserve">SEN support </w:t>
      </w:r>
      <w:r w:rsidR="00F81A09" w:rsidRPr="001C6A63">
        <w:rPr>
          <w:rFonts w:cs="Arial"/>
          <w:b/>
        </w:rPr>
        <w:t>for M</w:t>
      </w:r>
      <w:r w:rsidR="00486278" w:rsidRPr="001C6A63">
        <w:rPr>
          <w:rFonts w:cs="Arial"/>
          <w:b/>
        </w:rPr>
        <w:t xml:space="preserve">oderate </w:t>
      </w:r>
      <w:r w:rsidR="00F81A09" w:rsidRPr="001C6A63">
        <w:rPr>
          <w:rFonts w:cs="Arial"/>
          <w:b/>
        </w:rPr>
        <w:t>L</w:t>
      </w:r>
      <w:r w:rsidR="00486278" w:rsidRPr="001C6A63">
        <w:rPr>
          <w:rFonts w:cs="Arial"/>
          <w:b/>
        </w:rPr>
        <w:t xml:space="preserve">earning </w:t>
      </w:r>
      <w:r w:rsidR="00F81A09" w:rsidRPr="001C6A63">
        <w:rPr>
          <w:rFonts w:cs="Arial"/>
          <w:b/>
        </w:rPr>
        <w:t>D</w:t>
      </w:r>
      <w:r w:rsidR="00486278" w:rsidRPr="001C6A63">
        <w:rPr>
          <w:rFonts w:cs="Arial"/>
          <w:b/>
        </w:rPr>
        <w:t>ifficulties (MLD)</w:t>
      </w:r>
      <w:r w:rsidR="00F81A09" w:rsidRPr="001C6A63">
        <w:rPr>
          <w:rFonts w:cs="Arial"/>
          <w:b/>
        </w:rPr>
        <w:t xml:space="preserve"> </w:t>
      </w:r>
    </w:p>
    <w:p w14:paraId="3AF78A08" w14:textId="77777777" w:rsidR="00F81A09" w:rsidRPr="001C6A63" w:rsidRDefault="00F81A09">
      <w:pPr>
        <w:rPr>
          <w:rFonts w:cs="Arial"/>
        </w:rPr>
      </w:pPr>
    </w:p>
    <w:p w14:paraId="45771E30" w14:textId="77777777" w:rsidR="000930C6" w:rsidRPr="001C6A63" w:rsidRDefault="00055BB6" w:rsidP="00055BB6">
      <w:pPr>
        <w:rPr>
          <w:rFonts w:cs="Arial"/>
        </w:rPr>
      </w:pPr>
      <w:r w:rsidRPr="001C6A63">
        <w:rPr>
          <w:rFonts w:cs="Arial"/>
          <w:b/>
        </w:rPr>
        <w:t>The SEN Code of Practice (</w:t>
      </w:r>
      <w:r w:rsidR="000930C6" w:rsidRPr="001C6A63">
        <w:rPr>
          <w:rFonts w:cs="Arial"/>
          <w:b/>
        </w:rPr>
        <w:t>2014</w:t>
      </w:r>
      <w:r w:rsidRPr="001C6A63">
        <w:rPr>
          <w:rFonts w:cs="Arial"/>
          <w:b/>
        </w:rPr>
        <w:t>)</w:t>
      </w:r>
      <w:r w:rsidR="000930C6" w:rsidRPr="001C6A63">
        <w:rPr>
          <w:rFonts w:cs="Arial"/>
          <w:b/>
        </w:rPr>
        <w:t xml:space="preserve"> </w:t>
      </w:r>
      <w:r w:rsidR="00082C2C" w:rsidRPr="001C6A63">
        <w:rPr>
          <w:rFonts w:cs="Arial"/>
          <w:b/>
        </w:rPr>
        <w:t>states that:</w:t>
      </w:r>
      <w:r w:rsidRPr="001C6A63">
        <w:rPr>
          <w:rFonts w:cs="Arial"/>
        </w:rPr>
        <w:t xml:space="preserve"> </w:t>
      </w:r>
    </w:p>
    <w:p w14:paraId="05CDEF1C" w14:textId="77777777" w:rsidR="00E752EF" w:rsidRPr="001C6A63" w:rsidRDefault="00E752EF" w:rsidP="00055BB6">
      <w:pPr>
        <w:rPr>
          <w:rFonts w:cs="Arial"/>
        </w:rPr>
      </w:pPr>
    </w:p>
    <w:p w14:paraId="485AA637" w14:textId="77777777" w:rsidR="000930C6" w:rsidRPr="001C6A63" w:rsidRDefault="000930C6" w:rsidP="000930C6">
      <w:pPr>
        <w:pStyle w:val="Default"/>
        <w:spacing w:after="221"/>
      </w:pPr>
      <w:r w:rsidRPr="001C6A63">
        <w:t xml:space="preserve">A child or young person has SEN if they have a learning difficulty or disability which calls for special educational provision to be made for him or her. </w:t>
      </w:r>
    </w:p>
    <w:p w14:paraId="58A769CA" w14:textId="77777777" w:rsidR="00E752EF" w:rsidRPr="001C6A63" w:rsidRDefault="000930C6" w:rsidP="000930C6">
      <w:pPr>
        <w:pStyle w:val="Default"/>
      </w:pPr>
      <w:r w:rsidRPr="001C6A63">
        <w:t xml:space="preserve">A child of compulsory school age or a young person has a learning difficulty or disability if he or she: </w:t>
      </w:r>
    </w:p>
    <w:p w14:paraId="2992541C" w14:textId="77777777" w:rsidR="000930C6" w:rsidRPr="001C6A63" w:rsidRDefault="000930C6" w:rsidP="000930C6">
      <w:pPr>
        <w:pStyle w:val="Default"/>
      </w:pPr>
      <w:r w:rsidRPr="001C6A63">
        <w:t xml:space="preserve"> </w:t>
      </w:r>
    </w:p>
    <w:p w14:paraId="6DB174F6" w14:textId="77777777" w:rsidR="000930C6" w:rsidRPr="001C6A63" w:rsidRDefault="000930C6" w:rsidP="000930C6">
      <w:pPr>
        <w:pStyle w:val="Default"/>
        <w:spacing w:after="238"/>
      </w:pPr>
      <w:r w:rsidRPr="001C6A63">
        <w:t xml:space="preserve">• has a significantly greater difficulty in learning than </w:t>
      </w:r>
      <w:proofErr w:type="gramStart"/>
      <w:r w:rsidRPr="001C6A63">
        <w:t>the majority of</w:t>
      </w:r>
      <w:proofErr w:type="gramEnd"/>
      <w:r w:rsidRPr="001C6A63">
        <w:t xml:space="preserve"> others of the same age, or </w:t>
      </w:r>
    </w:p>
    <w:p w14:paraId="4BE0E373" w14:textId="77777777" w:rsidR="000930C6" w:rsidRPr="001C6A63" w:rsidRDefault="000930C6" w:rsidP="000930C6">
      <w:pPr>
        <w:pStyle w:val="Default"/>
      </w:pPr>
      <w:r w:rsidRPr="001C6A63">
        <w:t xml:space="preserve">• has a disability which prevents or hinders him or her from making use of facilities of a kind generally provided for others of the same age in mainstream schools or mainstream post-16 institutions </w:t>
      </w:r>
    </w:p>
    <w:p w14:paraId="0D8283C7" w14:textId="77777777" w:rsidR="00251B25" w:rsidRPr="001C6A63" w:rsidRDefault="00251B25" w:rsidP="00055BB6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14:paraId="63062A54" w14:textId="11B09390" w:rsidR="00055BB6" w:rsidRPr="001C6A63" w:rsidRDefault="000E37CA" w:rsidP="00055BB6">
      <w:pPr>
        <w:autoSpaceDE w:val="0"/>
        <w:autoSpaceDN w:val="0"/>
        <w:adjustRightInd w:val="0"/>
        <w:rPr>
          <w:rFonts w:cs="Arial"/>
          <w:bCs/>
          <w:lang w:eastAsia="en-GB"/>
        </w:rPr>
      </w:pPr>
      <w:hyperlink r:id="rId9" w:history="1">
        <w:r w:rsidR="00390885" w:rsidRPr="006A6E2E">
          <w:rPr>
            <w:rStyle w:val="Hyperlink"/>
            <w:rFonts w:cs="Arial"/>
            <w:bCs/>
            <w:lang w:eastAsia="en-GB"/>
          </w:rPr>
          <w:t>SEND CoP</w:t>
        </w:r>
      </w:hyperlink>
    </w:p>
    <w:p w14:paraId="7E92CBD4" w14:textId="77777777" w:rsidR="00FD6567" w:rsidRPr="001C6A63" w:rsidRDefault="00FD6567" w:rsidP="00055BB6">
      <w:pPr>
        <w:autoSpaceDE w:val="0"/>
        <w:autoSpaceDN w:val="0"/>
        <w:adjustRightInd w:val="0"/>
        <w:rPr>
          <w:rFonts w:cs="Arial"/>
          <w:bCs/>
          <w:lang w:eastAsia="en-GB"/>
        </w:rPr>
      </w:pPr>
    </w:p>
    <w:p w14:paraId="60A272C2" w14:textId="77777777" w:rsidR="00983D94" w:rsidRPr="001C6A63" w:rsidRDefault="00FD6567" w:rsidP="00983D94">
      <w:pPr>
        <w:pStyle w:val="Default"/>
        <w:rPr>
          <w:b/>
        </w:rPr>
      </w:pPr>
      <w:r w:rsidRPr="001C6A63">
        <w:rPr>
          <w:b/>
        </w:rPr>
        <w:t xml:space="preserve">Support for learning difficulties may be required when children and young people learn at a slower pace than their peers </w:t>
      </w:r>
      <w:r w:rsidR="005250CF" w:rsidRPr="001C6A63">
        <w:rPr>
          <w:b/>
        </w:rPr>
        <w:t>even with appropriate differentiation</w:t>
      </w:r>
      <w:r w:rsidR="00983D94" w:rsidRPr="001C6A63">
        <w:rPr>
          <w:b/>
        </w:rPr>
        <w:t>. Learning difficulties cover a wide range of needs, including moderate learning difficulties (MLD) …where children are likely to need support in all areas of the curriculum</w:t>
      </w:r>
      <w:r w:rsidR="009F7E82" w:rsidRPr="001C6A63">
        <w:rPr>
          <w:b/>
        </w:rPr>
        <w:t>.</w:t>
      </w:r>
      <w:r w:rsidR="00983D94" w:rsidRPr="001C6A63">
        <w:rPr>
          <w:b/>
        </w:rPr>
        <w:t xml:space="preserve"> </w:t>
      </w:r>
    </w:p>
    <w:p w14:paraId="5319684C" w14:textId="77777777" w:rsidR="00FD6567" w:rsidRPr="001C6A63" w:rsidRDefault="005250CF" w:rsidP="00055BB6">
      <w:pPr>
        <w:autoSpaceDE w:val="0"/>
        <w:autoSpaceDN w:val="0"/>
        <w:adjustRightInd w:val="0"/>
        <w:rPr>
          <w:rFonts w:cs="Arial"/>
          <w:b/>
          <w:bCs/>
          <w:lang w:eastAsia="en-GB"/>
        </w:rPr>
      </w:pPr>
      <w:r w:rsidRPr="001C6A63">
        <w:rPr>
          <w:rFonts w:cs="Arial"/>
          <w:b/>
        </w:rPr>
        <w:t>SEND CoP 6.30</w:t>
      </w:r>
    </w:p>
    <w:p w14:paraId="10C31410" w14:textId="77777777" w:rsidR="00F81A09" w:rsidRPr="001C6A63" w:rsidRDefault="00F81A09">
      <w:pPr>
        <w:rPr>
          <w:rFonts w:cs="Arial"/>
        </w:rPr>
      </w:pPr>
    </w:p>
    <w:p w14:paraId="26E5653C" w14:textId="77777777" w:rsidR="00F81A09" w:rsidRPr="001C6A63" w:rsidRDefault="002D1A07">
      <w:pPr>
        <w:rPr>
          <w:rFonts w:cs="Arial"/>
          <w:b/>
        </w:rPr>
      </w:pPr>
      <w:r w:rsidRPr="001C6A63">
        <w:rPr>
          <w:rFonts w:cs="Arial"/>
          <w:b/>
        </w:rPr>
        <w:t xml:space="preserve">Things to </w:t>
      </w:r>
      <w:r w:rsidR="007872AD" w:rsidRPr="001C6A63">
        <w:rPr>
          <w:rFonts w:cs="Arial"/>
          <w:b/>
        </w:rPr>
        <w:t>consider:</w:t>
      </w:r>
    </w:p>
    <w:p w14:paraId="496963D9" w14:textId="77777777" w:rsidR="003410F9" w:rsidRPr="001C6A63" w:rsidRDefault="003410F9">
      <w:pPr>
        <w:rPr>
          <w:rFonts w:cs="Arial"/>
        </w:rPr>
      </w:pPr>
    </w:p>
    <w:p w14:paraId="6B284662" w14:textId="77777777" w:rsidR="003410F9" w:rsidRPr="001C6A63" w:rsidRDefault="003410F9" w:rsidP="003410F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Is the gap in attainment</w:t>
      </w:r>
      <w:r w:rsidR="00486278" w:rsidRPr="001C6A63">
        <w:rPr>
          <w:rFonts w:cs="Arial"/>
        </w:rPr>
        <w:t>,</w:t>
      </w:r>
      <w:r w:rsidRPr="001C6A63">
        <w:rPr>
          <w:rFonts w:cs="Arial"/>
        </w:rPr>
        <w:t xml:space="preserve"> or lack of progress</w:t>
      </w:r>
      <w:r w:rsidR="00486278" w:rsidRPr="001C6A63">
        <w:rPr>
          <w:rFonts w:cs="Arial"/>
        </w:rPr>
        <w:t>,</w:t>
      </w:r>
      <w:r w:rsidRPr="001C6A63">
        <w:rPr>
          <w:rFonts w:cs="Arial"/>
        </w:rPr>
        <w:t xml:space="preserve"> due to teaching rather than SEN?</w:t>
      </w:r>
    </w:p>
    <w:p w14:paraId="0321138B" w14:textId="77777777" w:rsidR="003410F9" w:rsidRPr="001C6A63" w:rsidRDefault="003410F9">
      <w:pPr>
        <w:rPr>
          <w:rFonts w:cs="Arial"/>
        </w:rPr>
      </w:pPr>
    </w:p>
    <w:p w14:paraId="26F76B61" w14:textId="77777777" w:rsidR="003410F9" w:rsidRPr="001C6A63" w:rsidRDefault="00562971" w:rsidP="003410F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Pupil</w:t>
      </w:r>
      <w:r w:rsidR="002174A5" w:rsidRPr="001C6A63">
        <w:rPr>
          <w:rFonts w:cs="Arial"/>
        </w:rPr>
        <w:t>’s</w:t>
      </w:r>
      <w:r w:rsidR="003410F9" w:rsidRPr="001C6A63">
        <w:rPr>
          <w:rFonts w:cs="Arial"/>
        </w:rPr>
        <w:t xml:space="preserve"> progress </w:t>
      </w:r>
      <w:r w:rsidR="00486278" w:rsidRPr="001C6A63">
        <w:rPr>
          <w:rFonts w:cs="Arial"/>
        </w:rPr>
        <w:t xml:space="preserve">over time </w:t>
      </w:r>
      <w:r w:rsidR="003410F9" w:rsidRPr="001C6A63">
        <w:rPr>
          <w:rFonts w:cs="Arial"/>
        </w:rPr>
        <w:t xml:space="preserve">as well as attainment. </w:t>
      </w:r>
    </w:p>
    <w:p w14:paraId="7CDF1E56" w14:textId="77777777" w:rsidR="00486278" w:rsidRPr="001C6A63" w:rsidRDefault="00486278" w:rsidP="00486278">
      <w:pPr>
        <w:rPr>
          <w:rFonts w:cs="Arial"/>
        </w:rPr>
      </w:pPr>
    </w:p>
    <w:p w14:paraId="169BBFA2" w14:textId="77777777" w:rsidR="00486278" w:rsidRPr="001C6A63" w:rsidRDefault="00486278" w:rsidP="00486278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Effectiveness and appropriateness of additional and different provision.</w:t>
      </w:r>
    </w:p>
    <w:p w14:paraId="70135D06" w14:textId="77777777" w:rsidR="001C4B4A" w:rsidRPr="001C6A63" w:rsidRDefault="001C4B4A" w:rsidP="001C4B4A">
      <w:pPr>
        <w:rPr>
          <w:rFonts w:cs="Arial"/>
        </w:rPr>
      </w:pPr>
    </w:p>
    <w:p w14:paraId="31E4B1B5" w14:textId="77777777" w:rsidR="00F81A09" w:rsidRPr="001C6A63" w:rsidRDefault="00F81A09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lastRenderedPageBreak/>
        <w:t xml:space="preserve">Attendance </w:t>
      </w:r>
      <w:r w:rsidR="00486278" w:rsidRPr="001C6A63">
        <w:rPr>
          <w:rFonts w:cs="Arial"/>
        </w:rPr>
        <w:t>–</w:t>
      </w:r>
      <w:r w:rsidRPr="001C6A63">
        <w:rPr>
          <w:rFonts w:cs="Arial"/>
        </w:rPr>
        <w:t xml:space="preserve"> </w:t>
      </w:r>
      <w:r w:rsidR="00486278" w:rsidRPr="001C6A63">
        <w:rPr>
          <w:rFonts w:cs="Arial"/>
        </w:rPr>
        <w:t xml:space="preserve">school need to </w:t>
      </w:r>
      <w:r w:rsidRPr="001C6A63">
        <w:rPr>
          <w:rFonts w:cs="Arial"/>
        </w:rPr>
        <w:t xml:space="preserve">clarify whether lack of progress is due to </w:t>
      </w:r>
      <w:r w:rsidR="00486278" w:rsidRPr="001C6A63">
        <w:rPr>
          <w:rFonts w:cs="Arial"/>
        </w:rPr>
        <w:t>an attendance issue</w:t>
      </w:r>
      <w:r w:rsidRPr="001C6A63">
        <w:rPr>
          <w:rFonts w:cs="Arial"/>
        </w:rPr>
        <w:t xml:space="preserve"> or a learning difficulty</w:t>
      </w:r>
      <w:r w:rsidR="003410F9" w:rsidRPr="001C6A63">
        <w:rPr>
          <w:rFonts w:cs="Arial"/>
        </w:rPr>
        <w:t>?</w:t>
      </w:r>
      <w:r w:rsidR="00486278" w:rsidRPr="001C6A63">
        <w:rPr>
          <w:rFonts w:cs="Arial"/>
        </w:rPr>
        <w:t xml:space="preserve"> </w:t>
      </w:r>
    </w:p>
    <w:p w14:paraId="2D82306A" w14:textId="77777777" w:rsidR="00486278" w:rsidRPr="001C6A63" w:rsidRDefault="00486278" w:rsidP="00486278">
      <w:pPr>
        <w:rPr>
          <w:rFonts w:cs="Arial"/>
        </w:rPr>
      </w:pPr>
    </w:p>
    <w:p w14:paraId="76882D2B" w14:textId="77777777" w:rsidR="00486278" w:rsidRPr="001C6A63" w:rsidRDefault="00486278" w:rsidP="00486278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Extended holidays</w:t>
      </w:r>
    </w:p>
    <w:p w14:paraId="6139C294" w14:textId="77777777" w:rsidR="00486278" w:rsidRPr="001C6A63" w:rsidRDefault="00486278" w:rsidP="001C4B4A">
      <w:pPr>
        <w:rPr>
          <w:rFonts w:cs="Arial"/>
        </w:rPr>
      </w:pPr>
    </w:p>
    <w:p w14:paraId="7FEAA09F" w14:textId="77777777" w:rsidR="00F81A09" w:rsidRPr="001C6A63" w:rsidRDefault="00F81A09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Other factors e.g. home circumstances, medical issues</w:t>
      </w:r>
      <w:r w:rsidR="001C4B4A" w:rsidRPr="001C6A63">
        <w:rPr>
          <w:rFonts w:cs="Arial"/>
        </w:rPr>
        <w:t>, social care</w:t>
      </w:r>
      <w:r w:rsidR="007872AD" w:rsidRPr="001C6A63">
        <w:rPr>
          <w:rFonts w:cs="Arial"/>
        </w:rPr>
        <w:t>, high mobility</w:t>
      </w:r>
      <w:r w:rsidR="00486278" w:rsidRPr="001C6A63">
        <w:rPr>
          <w:rFonts w:cs="Arial"/>
        </w:rPr>
        <w:t>.</w:t>
      </w:r>
    </w:p>
    <w:p w14:paraId="6720F370" w14:textId="77777777" w:rsidR="001C4B4A" w:rsidRPr="001C6A63" w:rsidRDefault="001C4B4A" w:rsidP="001C4B4A">
      <w:pPr>
        <w:rPr>
          <w:rFonts w:cs="Arial"/>
        </w:rPr>
      </w:pPr>
    </w:p>
    <w:p w14:paraId="7627FD4E" w14:textId="77777777" w:rsidR="00F81A09" w:rsidRPr="001C6A63" w:rsidRDefault="003410F9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 xml:space="preserve">Is </w:t>
      </w:r>
      <w:r w:rsidR="00F81A09" w:rsidRPr="001C6A63">
        <w:rPr>
          <w:rFonts w:cs="Arial"/>
        </w:rPr>
        <w:t>EAL</w:t>
      </w:r>
      <w:r w:rsidRPr="001C6A63">
        <w:rPr>
          <w:rFonts w:cs="Arial"/>
        </w:rPr>
        <w:t xml:space="preserve"> an issue?</w:t>
      </w:r>
    </w:p>
    <w:p w14:paraId="772D8F92" w14:textId="77777777" w:rsidR="001C4B4A" w:rsidRPr="001C6A63" w:rsidRDefault="001C4B4A" w:rsidP="001C4B4A">
      <w:pPr>
        <w:rPr>
          <w:rFonts w:cs="Arial"/>
        </w:rPr>
      </w:pPr>
    </w:p>
    <w:p w14:paraId="29E9C628" w14:textId="77777777" w:rsidR="00F81A09" w:rsidRPr="001C6A63" w:rsidRDefault="003410F9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 xml:space="preserve">Is </w:t>
      </w:r>
      <w:r w:rsidR="00486278" w:rsidRPr="001C6A63">
        <w:rPr>
          <w:rFonts w:cs="Arial"/>
        </w:rPr>
        <w:t>MLD</w:t>
      </w:r>
      <w:r w:rsidRPr="001C6A63">
        <w:rPr>
          <w:rFonts w:cs="Arial"/>
        </w:rPr>
        <w:t xml:space="preserve"> the </w:t>
      </w:r>
      <w:r w:rsidR="00F81A09" w:rsidRPr="001C6A63">
        <w:rPr>
          <w:rFonts w:cs="Arial"/>
        </w:rPr>
        <w:t>primary need</w:t>
      </w:r>
      <w:r w:rsidRPr="001C6A63">
        <w:rPr>
          <w:rFonts w:cs="Arial"/>
        </w:rPr>
        <w:t>?</w:t>
      </w:r>
    </w:p>
    <w:p w14:paraId="0863B896" w14:textId="77777777" w:rsidR="001C4B4A" w:rsidRPr="001C6A63" w:rsidRDefault="001C4B4A" w:rsidP="001C4B4A">
      <w:pPr>
        <w:rPr>
          <w:rFonts w:cs="Arial"/>
        </w:rPr>
      </w:pPr>
    </w:p>
    <w:p w14:paraId="74AD13FA" w14:textId="77777777" w:rsidR="006A3E17" w:rsidRPr="001C6A63" w:rsidRDefault="007872AD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 xml:space="preserve">For </w:t>
      </w:r>
      <w:r w:rsidR="002174A5" w:rsidRPr="001C6A63">
        <w:rPr>
          <w:rFonts w:cs="Arial"/>
        </w:rPr>
        <w:t>children</w:t>
      </w:r>
      <w:r w:rsidRPr="001C6A63">
        <w:rPr>
          <w:rFonts w:cs="Arial"/>
        </w:rPr>
        <w:t xml:space="preserve"> recently admitted you may need to check that information received is up to date and liaise with </w:t>
      </w:r>
      <w:r w:rsidR="00070A2F" w:rsidRPr="001C6A63">
        <w:rPr>
          <w:rFonts w:cs="Arial"/>
        </w:rPr>
        <w:t xml:space="preserve">the </w:t>
      </w:r>
      <w:r w:rsidRPr="001C6A63">
        <w:rPr>
          <w:rFonts w:cs="Arial"/>
        </w:rPr>
        <w:t>previous school.</w:t>
      </w:r>
    </w:p>
    <w:p w14:paraId="2EE45495" w14:textId="77777777" w:rsidR="001C4B4A" w:rsidRPr="001C6A63" w:rsidRDefault="001C4B4A" w:rsidP="001C4B4A">
      <w:pPr>
        <w:rPr>
          <w:rFonts w:cs="Arial"/>
        </w:rPr>
      </w:pPr>
    </w:p>
    <w:p w14:paraId="088DAE3A" w14:textId="77777777" w:rsidR="001C4B4A" w:rsidRPr="001C6A63" w:rsidRDefault="006E2816" w:rsidP="001C4B4A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Maturational issues –</w:t>
      </w:r>
      <w:r w:rsidR="003410F9" w:rsidRPr="001C6A63">
        <w:rPr>
          <w:rFonts w:cs="Arial"/>
        </w:rPr>
        <w:t xml:space="preserve"> especially for </w:t>
      </w:r>
      <w:r w:rsidR="006A3E17" w:rsidRPr="001C6A63">
        <w:rPr>
          <w:rFonts w:cs="Arial"/>
        </w:rPr>
        <w:t xml:space="preserve">younger </w:t>
      </w:r>
      <w:r w:rsidR="002174A5" w:rsidRPr="001C6A63">
        <w:rPr>
          <w:rFonts w:cs="Arial"/>
        </w:rPr>
        <w:t>children</w:t>
      </w:r>
    </w:p>
    <w:p w14:paraId="3E618F3B" w14:textId="77777777" w:rsidR="00CB5381" w:rsidRPr="001C6A63" w:rsidRDefault="00CB5381" w:rsidP="00CB5381">
      <w:pPr>
        <w:rPr>
          <w:rFonts w:cs="Arial"/>
        </w:rPr>
      </w:pPr>
    </w:p>
    <w:p w14:paraId="3FC0B20F" w14:textId="77777777" w:rsidR="006A3E17" w:rsidRPr="001C6A63" w:rsidRDefault="006A3E17" w:rsidP="00F81A09">
      <w:pPr>
        <w:numPr>
          <w:ilvl w:val="0"/>
          <w:numId w:val="7"/>
        </w:numPr>
        <w:rPr>
          <w:rFonts w:cs="Arial"/>
        </w:rPr>
      </w:pPr>
      <w:r w:rsidRPr="001C6A63">
        <w:rPr>
          <w:rFonts w:cs="Arial"/>
        </w:rPr>
        <w:t>August birthdays – especially in KS1</w:t>
      </w:r>
      <w:r w:rsidR="006E2816" w:rsidRPr="001C6A63">
        <w:rPr>
          <w:rFonts w:cs="Arial"/>
        </w:rPr>
        <w:t>.</w:t>
      </w:r>
    </w:p>
    <w:p w14:paraId="5E7BCB4E" w14:textId="77777777" w:rsidR="001C4B4A" w:rsidRPr="001C6A63" w:rsidRDefault="001C4B4A" w:rsidP="001C4B4A">
      <w:pPr>
        <w:rPr>
          <w:rFonts w:cs="Arial"/>
        </w:rPr>
      </w:pPr>
    </w:p>
    <w:p w14:paraId="4E3351B7" w14:textId="77777777" w:rsidR="00697AED" w:rsidRPr="001C6A63" w:rsidRDefault="00697AED" w:rsidP="00697AED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1C6A63">
        <w:rPr>
          <w:rFonts w:eastAsia="Calibri" w:cs="Arial"/>
          <w:b/>
          <w:color w:val="000000"/>
        </w:rPr>
        <w:t xml:space="preserve">SEND Mainstream Guidance </w:t>
      </w:r>
      <w:r w:rsidRPr="001C6A63">
        <w:rPr>
          <w:rFonts w:eastAsia="Calibri" w:cs="Arial"/>
          <w:color w:val="000000"/>
        </w:rPr>
        <w:t>(Sept 201</w:t>
      </w:r>
      <w:r w:rsidR="002F47EC">
        <w:rPr>
          <w:rFonts w:eastAsia="Calibri" w:cs="Arial"/>
          <w:color w:val="000000"/>
        </w:rPr>
        <w:t>9</w:t>
      </w:r>
      <w:r w:rsidRPr="001C6A63">
        <w:rPr>
          <w:rFonts w:eastAsia="Calibri" w:cs="Arial"/>
          <w:color w:val="000000"/>
        </w:rPr>
        <w:t>)</w:t>
      </w:r>
      <w:r w:rsidRPr="001C6A63">
        <w:rPr>
          <w:rFonts w:eastAsia="Calibri" w:cs="Arial"/>
        </w:rPr>
        <w:t xml:space="preserve"> - </w:t>
      </w:r>
      <w:r w:rsidRPr="001C6A63">
        <w:rPr>
          <w:rFonts w:eastAsia="Calibri" w:cs="Arial"/>
          <w:color w:val="000000"/>
        </w:rPr>
        <w:t>Supporting children and young people who have special educational needs and disabilities (SEND) at SEN support in mainstream schools and settings.</w:t>
      </w:r>
    </w:p>
    <w:p w14:paraId="21D2C647" w14:textId="77777777" w:rsidR="00697AED" w:rsidRPr="001C6A63" w:rsidRDefault="00697AED" w:rsidP="00697AED">
      <w:pPr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2E0D61BE" w14:textId="03A68D1B" w:rsidR="00697AED" w:rsidRPr="001C6A63" w:rsidRDefault="00697AED" w:rsidP="00697AED">
      <w:pPr>
        <w:autoSpaceDE w:val="0"/>
        <w:autoSpaceDN w:val="0"/>
        <w:adjustRightInd w:val="0"/>
        <w:rPr>
          <w:rFonts w:eastAsia="Calibri" w:cs="Arial"/>
          <w:color w:val="000000"/>
        </w:rPr>
      </w:pPr>
      <w:r w:rsidRPr="001C6A63">
        <w:rPr>
          <w:rFonts w:cs="Arial"/>
        </w:rPr>
        <w:t xml:space="preserve">All pupils are entitled to quality first teaching </w:t>
      </w:r>
    </w:p>
    <w:p w14:paraId="526B8898" w14:textId="70A1BA01" w:rsidR="00697AED" w:rsidRPr="001C6A63" w:rsidRDefault="00697AED" w:rsidP="00697AED">
      <w:pPr>
        <w:autoSpaceDE w:val="0"/>
        <w:autoSpaceDN w:val="0"/>
        <w:adjustRightInd w:val="0"/>
        <w:rPr>
          <w:rFonts w:cs="Arial"/>
          <w:lang w:eastAsia="en-GB"/>
        </w:rPr>
      </w:pPr>
      <w:r w:rsidRPr="001C6A63">
        <w:rPr>
          <w:rFonts w:eastAsia="Calibri" w:cs="Arial"/>
          <w:color w:val="000000"/>
        </w:rPr>
        <w:t xml:space="preserve">Provision schools are expected to put in place for pupils at SEN support with cognition and learning difficulties. </w:t>
      </w:r>
      <w:r w:rsidR="004164A3" w:rsidRPr="001C6A63">
        <w:rPr>
          <w:rFonts w:eastAsia="Calibri" w:cs="Arial"/>
          <w:color w:val="000000"/>
        </w:rPr>
        <w:t>This section also contains information relating to specific learning difficulties (</w:t>
      </w:r>
      <w:proofErr w:type="spellStart"/>
      <w:r w:rsidR="004164A3" w:rsidRPr="001C6A63">
        <w:rPr>
          <w:rFonts w:eastAsia="Calibri" w:cs="Arial"/>
          <w:color w:val="000000"/>
        </w:rPr>
        <w:t>SpLD</w:t>
      </w:r>
      <w:proofErr w:type="spellEnd"/>
      <w:r w:rsidR="004164A3" w:rsidRPr="001C6A63">
        <w:rPr>
          <w:rFonts w:eastAsia="Calibri" w:cs="Arial"/>
          <w:color w:val="000000"/>
        </w:rPr>
        <w:t>)</w:t>
      </w:r>
      <w:r w:rsidR="004164A3" w:rsidRPr="001C6A63">
        <w:rPr>
          <w:rFonts w:eastAsia="Calibri" w:cs="Arial"/>
        </w:rPr>
        <w:t>.</w:t>
      </w:r>
    </w:p>
    <w:p w14:paraId="02640F81" w14:textId="77777777" w:rsidR="00082C2C" w:rsidRPr="001C6A63" w:rsidRDefault="00082C2C" w:rsidP="00082C2C">
      <w:pPr>
        <w:pStyle w:val="Default"/>
        <w:rPr>
          <w:rFonts w:eastAsia="Calibri"/>
        </w:rPr>
      </w:pPr>
    </w:p>
    <w:p w14:paraId="53B38B00" w14:textId="77777777" w:rsidR="00CE6075" w:rsidRPr="001C6A63" w:rsidRDefault="00082C2C" w:rsidP="00CE6075">
      <w:pPr>
        <w:pStyle w:val="Default"/>
        <w:rPr>
          <w:rFonts w:eastAsia="Calibri"/>
          <w:b/>
        </w:rPr>
      </w:pPr>
      <w:r w:rsidRPr="001C6A63">
        <w:rPr>
          <w:rFonts w:eastAsia="Calibri"/>
          <w:b/>
        </w:rPr>
        <w:t>SEND Code of Practice (2014) s</w:t>
      </w:r>
      <w:r w:rsidR="00CE6075" w:rsidRPr="001C6A63">
        <w:rPr>
          <w:rFonts w:eastAsia="Calibri"/>
          <w:b/>
        </w:rPr>
        <w:t>t</w:t>
      </w:r>
      <w:r w:rsidRPr="001C6A63">
        <w:rPr>
          <w:rFonts w:eastAsia="Calibri"/>
          <w:b/>
        </w:rPr>
        <w:t>ates that:</w:t>
      </w:r>
    </w:p>
    <w:p w14:paraId="29E84F41" w14:textId="77777777" w:rsidR="00CE6075" w:rsidRPr="001C6A63" w:rsidRDefault="00CE6075" w:rsidP="00CE6075">
      <w:pPr>
        <w:pStyle w:val="Default"/>
      </w:pPr>
      <w:r w:rsidRPr="001C6A63">
        <w:t xml:space="preserve">Special educational provision is underpinned by high quality teaching and is compromised by anything less. </w:t>
      </w:r>
    </w:p>
    <w:p w14:paraId="50352955" w14:textId="77777777" w:rsidR="00F4784B" w:rsidRPr="001C6A63" w:rsidRDefault="00082C2C" w:rsidP="00CE6075">
      <w:pPr>
        <w:pStyle w:val="Default"/>
        <w:rPr>
          <w:rFonts w:eastAsia="Calibri"/>
        </w:rPr>
      </w:pPr>
      <w:r w:rsidRPr="001C6A63">
        <w:rPr>
          <w:rFonts w:eastAsia="Calibri"/>
        </w:rPr>
        <w:t xml:space="preserve"> </w:t>
      </w:r>
    </w:p>
    <w:p w14:paraId="227F8EFA" w14:textId="77777777" w:rsidR="006677C1" w:rsidRPr="001C6A63" w:rsidRDefault="00CE6075" w:rsidP="00F4784B">
      <w:pPr>
        <w:autoSpaceDE w:val="0"/>
        <w:autoSpaceDN w:val="0"/>
        <w:adjustRightInd w:val="0"/>
        <w:rPr>
          <w:rFonts w:cs="Arial"/>
          <w:b/>
          <w:lang w:eastAsia="en-GB"/>
        </w:rPr>
      </w:pPr>
      <w:r w:rsidRPr="001C6A63">
        <w:rPr>
          <w:rFonts w:cs="Arial"/>
          <w:b/>
          <w:lang w:eastAsia="en-GB"/>
        </w:rPr>
        <w:t xml:space="preserve">Catch up </w:t>
      </w:r>
      <w:r w:rsidR="00F4784B" w:rsidRPr="001C6A63">
        <w:rPr>
          <w:rFonts w:cs="Arial"/>
          <w:b/>
          <w:lang w:eastAsia="en-GB"/>
        </w:rPr>
        <w:t>provision</w:t>
      </w:r>
      <w:r w:rsidR="006677C1" w:rsidRPr="001C6A63">
        <w:rPr>
          <w:rFonts w:cs="Arial"/>
          <w:b/>
          <w:lang w:eastAsia="en-GB"/>
        </w:rPr>
        <w:t>:</w:t>
      </w:r>
    </w:p>
    <w:p w14:paraId="129CD248" w14:textId="77777777" w:rsidR="006677C1" w:rsidRPr="001C6A63" w:rsidRDefault="007414A6" w:rsidP="005F0287">
      <w:pPr>
        <w:autoSpaceDE w:val="0"/>
        <w:autoSpaceDN w:val="0"/>
        <w:adjustRightInd w:val="0"/>
        <w:rPr>
          <w:rFonts w:cs="Arial"/>
          <w:lang w:eastAsia="en-GB"/>
        </w:rPr>
      </w:pPr>
      <w:r w:rsidRPr="001C6A63">
        <w:rPr>
          <w:rFonts w:cs="Arial"/>
          <w:lang w:eastAsia="en-GB"/>
        </w:rPr>
        <w:t xml:space="preserve">Small group intervention for </w:t>
      </w:r>
      <w:r w:rsidR="002174A5" w:rsidRPr="001C6A63">
        <w:rPr>
          <w:rFonts w:cs="Arial"/>
          <w:lang w:eastAsia="en-GB"/>
        </w:rPr>
        <w:t>children</w:t>
      </w:r>
      <w:r w:rsidRPr="001C6A63">
        <w:rPr>
          <w:rFonts w:cs="Arial"/>
          <w:lang w:eastAsia="en-GB"/>
        </w:rPr>
        <w:t xml:space="preserve"> who can be expected to ‘catch up’ with their peers as a result of the intervention – that is, who do not have special educational needs related specifically to learning difficulties. </w:t>
      </w:r>
      <w:r w:rsidR="002174A5" w:rsidRPr="001C6A63">
        <w:rPr>
          <w:rFonts w:cs="Arial"/>
          <w:lang w:eastAsia="en-GB"/>
        </w:rPr>
        <w:t>Children</w:t>
      </w:r>
      <w:r w:rsidR="005F0287" w:rsidRPr="001C6A63">
        <w:rPr>
          <w:rFonts w:cs="Arial"/>
          <w:lang w:eastAsia="en-GB"/>
        </w:rPr>
        <w:t xml:space="preserve"> included in </w:t>
      </w:r>
      <w:r w:rsidR="007E0534" w:rsidRPr="001C6A63">
        <w:rPr>
          <w:rFonts w:cs="Arial"/>
          <w:lang w:eastAsia="en-GB"/>
        </w:rPr>
        <w:t>catch up</w:t>
      </w:r>
      <w:r w:rsidR="005F0287" w:rsidRPr="001C6A63">
        <w:rPr>
          <w:rFonts w:cs="Arial"/>
          <w:lang w:eastAsia="en-GB"/>
        </w:rPr>
        <w:t xml:space="preserve"> interventions may on occasion already be at </w:t>
      </w:r>
      <w:r w:rsidR="00CE6075" w:rsidRPr="001C6A63">
        <w:rPr>
          <w:rFonts w:cs="Arial"/>
          <w:lang w:eastAsia="en-GB"/>
        </w:rPr>
        <w:t>SEN support</w:t>
      </w:r>
      <w:r w:rsidR="005F0287" w:rsidRPr="001C6A63">
        <w:rPr>
          <w:rFonts w:cs="Arial"/>
          <w:lang w:eastAsia="en-GB"/>
        </w:rPr>
        <w:t xml:space="preserve">. This will be where they have special educational needs such as </w:t>
      </w:r>
      <w:r w:rsidR="00CE6075" w:rsidRPr="001C6A63">
        <w:rPr>
          <w:rFonts w:cs="Arial"/>
          <w:lang w:eastAsia="en-GB"/>
        </w:rPr>
        <w:t>SEMH</w:t>
      </w:r>
      <w:r w:rsidR="005F0287" w:rsidRPr="001C6A63">
        <w:rPr>
          <w:rFonts w:cs="Arial"/>
          <w:lang w:eastAsia="en-GB"/>
        </w:rPr>
        <w:t xml:space="preserve">, communication </w:t>
      </w:r>
      <w:r w:rsidR="002174A5" w:rsidRPr="001C6A63">
        <w:rPr>
          <w:rFonts w:cs="Arial"/>
          <w:lang w:eastAsia="en-GB"/>
        </w:rPr>
        <w:t>and interaction difficulties</w:t>
      </w:r>
      <w:r w:rsidR="00437721" w:rsidRPr="001C6A63">
        <w:rPr>
          <w:rFonts w:cs="Arial"/>
          <w:lang w:eastAsia="en-GB"/>
        </w:rPr>
        <w:t>, sensory</w:t>
      </w:r>
      <w:r w:rsidR="005F0287" w:rsidRPr="001C6A63">
        <w:rPr>
          <w:rFonts w:cs="Arial"/>
          <w:lang w:eastAsia="en-GB"/>
        </w:rPr>
        <w:t xml:space="preserve"> or physical impairment, for which they are receiving other forms of support.</w:t>
      </w:r>
    </w:p>
    <w:p w14:paraId="253BD63F" w14:textId="77777777" w:rsidR="00F4784B" w:rsidRDefault="00F4784B" w:rsidP="00EC6E23">
      <w:pPr>
        <w:autoSpaceDE w:val="0"/>
        <w:autoSpaceDN w:val="0"/>
        <w:adjustRightInd w:val="0"/>
        <w:rPr>
          <w:rFonts w:cs="Arial"/>
          <w:lang w:eastAsia="en-GB"/>
        </w:rPr>
      </w:pPr>
    </w:p>
    <w:p w14:paraId="0396EA4F" w14:textId="77777777" w:rsidR="001C6A63" w:rsidRDefault="001C6A63" w:rsidP="00EC6E23">
      <w:pPr>
        <w:autoSpaceDE w:val="0"/>
        <w:autoSpaceDN w:val="0"/>
        <w:adjustRightInd w:val="0"/>
        <w:rPr>
          <w:rFonts w:cs="Arial"/>
          <w:lang w:eastAsia="en-GB"/>
        </w:rPr>
      </w:pPr>
    </w:p>
    <w:p w14:paraId="4FA78DBF" w14:textId="77777777" w:rsidR="001C6A63" w:rsidRPr="001C6A63" w:rsidRDefault="001C6A63" w:rsidP="00EC6E23">
      <w:pPr>
        <w:autoSpaceDE w:val="0"/>
        <w:autoSpaceDN w:val="0"/>
        <w:adjustRightInd w:val="0"/>
        <w:rPr>
          <w:rFonts w:cs="Arial"/>
          <w:lang w:eastAsia="en-GB"/>
        </w:rPr>
      </w:pPr>
    </w:p>
    <w:p w14:paraId="69F5C94D" w14:textId="77777777" w:rsidR="005F0287" w:rsidRPr="001C6A63" w:rsidRDefault="0056593B" w:rsidP="00EC6E23">
      <w:pPr>
        <w:autoSpaceDE w:val="0"/>
        <w:autoSpaceDN w:val="0"/>
        <w:adjustRightInd w:val="0"/>
        <w:rPr>
          <w:rFonts w:cs="Arial"/>
          <w:b/>
          <w:lang w:eastAsia="en-GB"/>
        </w:rPr>
      </w:pPr>
      <w:r w:rsidRPr="001C6A63">
        <w:rPr>
          <w:rFonts w:cs="Arial"/>
          <w:b/>
          <w:lang w:eastAsia="en-GB"/>
        </w:rPr>
        <w:t>SEN</w:t>
      </w:r>
      <w:r w:rsidR="00F4784B" w:rsidRPr="001C6A63">
        <w:rPr>
          <w:rFonts w:cs="Arial"/>
          <w:b/>
          <w:lang w:eastAsia="en-GB"/>
        </w:rPr>
        <w:t xml:space="preserve"> provision</w:t>
      </w:r>
    </w:p>
    <w:p w14:paraId="153884EA" w14:textId="77777777" w:rsidR="00705B4B" w:rsidRPr="001C6A63" w:rsidRDefault="005F0287" w:rsidP="00705B4B">
      <w:pPr>
        <w:autoSpaceDE w:val="0"/>
        <w:autoSpaceDN w:val="0"/>
        <w:adjustRightInd w:val="0"/>
        <w:rPr>
          <w:rFonts w:cs="Arial"/>
          <w:b/>
          <w:bCs/>
          <w:lang w:eastAsia="en-GB"/>
        </w:rPr>
      </w:pPr>
      <w:r w:rsidRPr="001C6A63">
        <w:rPr>
          <w:rFonts w:cs="Arial"/>
          <w:lang w:eastAsia="en-GB"/>
        </w:rPr>
        <w:t>Specific targeted approaches</w:t>
      </w:r>
      <w:r w:rsidR="00705B4B" w:rsidRPr="001C6A63">
        <w:rPr>
          <w:rFonts w:cs="Arial"/>
          <w:lang w:eastAsia="en-GB"/>
        </w:rPr>
        <w:t xml:space="preserve"> </w:t>
      </w:r>
      <w:r w:rsidRPr="001C6A63">
        <w:rPr>
          <w:rFonts w:cs="Arial"/>
          <w:lang w:eastAsia="en-GB"/>
        </w:rPr>
        <w:t xml:space="preserve">for individual </w:t>
      </w:r>
      <w:r w:rsidR="002174A5" w:rsidRPr="001C6A63">
        <w:rPr>
          <w:rFonts w:cs="Arial"/>
          <w:lang w:eastAsia="en-GB"/>
        </w:rPr>
        <w:t>children</w:t>
      </w:r>
      <w:r w:rsidRPr="001C6A63">
        <w:rPr>
          <w:rFonts w:cs="Arial"/>
          <w:lang w:eastAsia="en-GB"/>
        </w:rPr>
        <w:t xml:space="preserve"> identified as requiring SEN intervention. </w:t>
      </w:r>
      <w:r w:rsidR="00705B4B" w:rsidRPr="001C6A63">
        <w:rPr>
          <w:rFonts w:cs="Arial"/>
          <w:bCs/>
          <w:lang w:eastAsia="en-GB"/>
        </w:rPr>
        <w:t>The school’s notional SEN budget provides funding for pupils at SEN support.</w:t>
      </w:r>
      <w:r w:rsidR="00705B4B" w:rsidRPr="001C6A63">
        <w:rPr>
          <w:rFonts w:cs="Arial"/>
          <w:b/>
          <w:bCs/>
          <w:lang w:eastAsia="en-GB"/>
        </w:rPr>
        <w:t xml:space="preserve">  </w:t>
      </w:r>
    </w:p>
    <w:p w14:paraId="344FB4BD" w14:textId="77777777" w:rsidR="00C96AD2" w:rsidRPr="001C6A63" w:rsidRDefault="00C96AD2" w:rsidP="00D57744">
      <w:pPr>
        <w:rPr>
          <w:rFonts w:cs="Arial"/>
          <w:b/>
        </w:rPr>
      </w:pPr>
    </w:p>
    <w:p w14:paraId="70D5852F" w14:textId="77777777" w:rsidR="008C0A9D" w:rsidRPr="001C6A63" w:rsidRDefault="006923D1" w:rsidP="00D57744">
      <w:pPr>
        <w:rPr>
          <w:rFonts w:cs="Arial"/>
          <w:b/>
        </w:rPr>
      </w:pPr>
      <w:r w:rsidRPr="001C6A63">
        <w:rPr>
          <w:rFonts w:cs="Arial"/>
          <w:b/>
        </w:rPr>
        <w:t>Next steps</w:t>
      </w:r>
    </w:p>
    <w:p w14:paraId="4A6343B3" w14:textId="77777777" w:rsidR="00FE1232" w:rsidRPr="001C6A63" w:rsidRDefault="009128B8" w:rsidP="00D57744">
      <w:pPr>
        <w:rPr>
          <w:rFonts w:cs="Arial"/>
        </w:rPr>
      </w:pPr>
      <w:r w:rsidRPr="001C6A63">
        <w:rPr>
          <w:rFonts w:cs="Arial"/>
        </w:rPr>
        <w:t xml:space="preserve">Once a </w:t>
      </w:r>
      <w:r w:rsidR="008028CD" w:rsidRPr="001C6A63">
        <w:rPr>
          <w:rFonts w:cs="Arial"/>
        </w:rPr>
        <w:t>pupil</w:t>
      </w:r>
      <w:r w:rsidRPr="001C6A63">
        <w:rPr>
          <w:rFonts w:cs="Arial"/>
        </w:rPr>
        <w:t xml:space="preserve"> has been </w:t>
      </w:r>
      <w:r w:rsidR="00273B73" w:rsidRPr="001C6A63">
        <w:rPr>
          <w:rFonts w:cs="Arial"/>
        </w:rPr>
        <w:t xml:space="preserve">placed </w:t>
      </w:r>
      <w:r w:rsidRPr="001C6A63">
        <w:rPr>
          <w:rFonts w:cs="Arial"/>
        </w:rPr>
        <w:t xml:space="preserve">at </w:t>
      </w:r>
      <w:r w:rsidR="008028CD" w:rsidRPr="001C6A63">
        <w:rPr>
          <w:rFonts w:cs="Arial"/>
        </w:rPr>
        <w:t xml:space="preserve">SEN </w:t>
      </w:r>
      <w:r w:rsidR="00562971" w:rsidRPr="001C6A63">
        <w:rPr>
          <w:rFonts w:cs="Arial"/>
        </w:rPr>
        <w:t>support the graduated response (</w:t>
      </w:r>
      <w:r w:rsidR="008028CD" w:rsidRPr="001C6A63">
        <w:rPr>
          <w:rFonts w:cs="Arial"/>
        </w:rPr>
        <w:t>assess, plan, do and review</w:t>
      </w:r>
      <w:r w:rsidR="00562971" w:rsidRPr="001C6A63">
        <w:rPr>
          <w:rFonts w:cs="Arial"/>
        </w:rPr>
        <w:t>)</w:t>
      </w:r>
      <w:r w:rsidR="008028CD" w:rsidRPr="001C6A63">
        <w:rPr>
          <w:rFonts w:cs="Arial"/>
        </w:rPr>
        <w:t xml:space="preserve"> should be followed and</w:t>
      </w:r>
      <w:r w:rsidRPr="001C6A63">
        <w:rPr>
          <w:rFonts w:cs="Arial"/>
        </w:rPr>
        <w:t xml:space="preserve"> their progress should be monitored</w:t>
      </w:r>
      <w:r w:rsidR="00273B73" w:rsidRPr="001C6A63">
        <w:rPr>
          <w:rFonts w:cs="Arial"/>
        </w:rPr>
        <w:t xml:space="preserve"> closely</w:t>
      </w:r>
      <w:r w:rsidR="008028CD" w:rsidRPr="001C6A63">
        <w:rPr>
          <w:rFonts w:cs="Arial"/>
        </w:rPr>
        <w:t>. I</w:t>
      </w:r>
      <w:r w:rsidRPr="001C6A63">
        <w:rPr>
          <w:rFonts w:cs="Arial"/>
        </w:rPr>
        <w:t xml:space="preserve">f they attain age appropriate </w:t>
      </w:r>
      <w:r w:rsidR="00437721" w:rsidRPr="001C6A63">
        <w:rPr>
          <w:rFonts w:cs="Arial"/>
        </w:rPr>
        <w:t>expectations,</w:t>
      </w:r>
      <w:r w:rsidRPr="001C6A63">
        <w:rPr>
          <w:rFonts w:cs="Arial"/>
        </w:rPr>
        <w:t xml:space="preserve"> they should be removed from the SEN list</w:t>
      </w:r>
      <w:r w:rsidR="008028CD" w:rsidRPr="001C6A63">
        <w:rPr>
          <w:rFonts w:cs="Arial"/>
        </w:rPr>
        <w:t>,</w:t>
      </w:r>
      <w:r w:rsidR="00FE1232" w:rsidRPr="001C6A63">
        <w:rPr>
          <w:rFonts w:cs="Arial"/>
        </w:rPr>
        <w:t xml:space="preserve"> after consultation with parents</w:t>
      </w:r>
      <w:r w:rsidRPr="001C6A63">
        <w:rPr>
          <w:rFonts w:cs="Arial"/>
        </w:rPr>
        <w:t xml:space="preserve">. </w:t>
      </w:r>
    </w:p>
    <w:p w14:paraId="5D290BF5" w14:textId="77777777" w:rsidR="00DC0612" w:rsidRPr="001C6A63" w:rsidRDefault="00DC0612" w:rsidP="00D57744">
      <w:pPr>
        <w:rPr>
          <w:rFonts w:cs="Arial"/>
        </w:rPr>
      </w:pPr>
    </w:p>
    <w:p w14:paraId="0ABC9F5B" w14:textId="77777777" w:rsidR="00BB5879" w:rsidRPr="001C6A63" w:rsidRDefault="00EF2426" w:rsidP="008028CD">
      <w:pPr>
        <w:rPr>
          <w:rFonts w:cs="Arial"/>
        </w:rPr>
      </w:pPr>
      <w:r w:rsidRPr="001C6A63">
        <w:rPr>
          <w:rFonts w:cs="Arial"/>
        </w:rPr>
        <w:t xml:space="preserve">Some pupils may require a </w:t>
      </w:r>
      <w:r w:rsidR="008028CD" w:rsidRPr="001C6A63">
        <w:rPr>
          <w:rFonts w:cs="Arial"/>
        </w:rPr>
        <w:t xml:space="preserve">significantly </w:t>
      </w:r>
      <w:r w:rsidRPr="001C6A63">
        <w:rPr>
          <w:rFonts w:cs="Arial"/>
        </w:rPr>
        <w:t xml:space="preserve">higher level of provision and </w:t>
      </w:r>
      <w:r w:rsidR="008028CD" w:rsidRPr="001C6A63">
        <w:rPr>
          <w:rFonts w:cs="Arial"/>
        </w:rPr>
        <w:t xml:space="preserve">a request for an EHC assessment may be required. </w:t>
      </w:r>
    </w:p>
    <w:p w14:paraId="013A2860" w14:textId="77777777" w:rsidR="00AD6321" w:rsidRPr="001C6A63" w:rsidRDefault="00AD6321" w:rsidP="00BB5879">
      <w:pPr>
        <w:rPr>
          <w:rFonts w:cs="Arial"/>
        </w:rPr>
      </w:pPr>
    </w:p>
    <w:p w14:paraId="2F2B94D6" w14:textId="65B0A2D8" w:rsidR="009F7E82" w:rsidRPr="00390885" w:rsidRDefault="00562971" w:rsidP="00BB5879">
      <w:pPr>
        <w:rPr>
          <w:rFonts w:cs="Arial"/>
          <w:b/>
        </w:rPr>
      </w:pPr>
      <w:r w:rsidRPr="00390885">
        <w:rPr>
          <w:rFonts w:cs="Arial"/>
          <w:b/>
        </w:rPr>
        <w:t>Attainment guidelines</w:t>
      </w:r>
      <w:r w:rsidR="00374C38" w:rsidRPr="00390885">
        <w:rPr>
          <w:rFonts w:cs="Arial"/>
          <w:b/>
        </w:rPr>
        <w:t xml:space="preserve"> </w:t>
      </w:r>
      <w:r w:rsidR="005A697D" w:rsidRPr="00390885">
        <w:rPr>
          <w:rFonts w:cs="Arial"/>
          <w:b/>
        </w:rPr>
        <w:t xml:space="preserve">- </w:t>
      </w:r>
      <w:r w:rsidR="00374C38" w:rsidRPr="00390885">
        <w:rPr>
          <w:rFonts w:cs="Arial"/>
          <w:b/>
        </w:rPr>
        <w:t>link</w:t>
      </w:r>
      <w:r w:rsidR="005A697D" w:rsidRPr="00390885">
        <w:rPr>
          <w:rFonts w:cs="Arial"/>
          <w:b/>
        </w:rPr>
        <w:t>ed</w:t>
      </w:r>
      <w:r w:rsidR="00374C38" w:rsidRPr="00390885">
        <w:rPr>
          <w:rFonts w:cs="Arial"/>
          <w:b/>
        </w:rPr>
        <w:t xml:space="preserve"> to </w:t>
      </w:r>
      <w:r w:rsidR="00390885" w:rsidRPr="00390885">
        <w:rPr>
          <w:rFonts w:cs="Arial"/>
          <w:b/>
        </w:rPr>
        <w:t>Sir Charles Parsons Assessment and Recording Tool (SCART)</w:t>
      </w:r>
      <w:r w:rsidR="005A697D" w:rsidRPr="00390885">
        <w:rPr>
          <w:rFonts w:cs="Arial"/>
          <w:b/>
        </w:rPr>
        <w:t xml:space="preserve"> </w:t>
      </w:r>
    </w:p>
    <w:p w14:paraId="35F9A4CB" w14:textId="77777777" w:rsidR="00983D94" w:rsidRPr="00390885" w:rsidRDefault="00252270" w:rsidP="00BB5879">
      <w:pPr>
        <w:rPr>
          <w:rFonts w:cs="Arial"/>
        </w:rPr>
      </w:pPr>
      <w:r w:rsidRPr="00390885">
        <w:rPr>
          <w:rFonts w:cs="Arial"/>
        </w:rPr>
        <w:t xml:space="preserve">The expectation would be that pupils are assessed as working at least two years below their </w:t>
      </w:r>
      <w:r w:rsidR="004339FA" w:rsidRPr="00390885">
        <w:rPr>
          <w:rFonts w:cs="Arial"/>
        </w:rPr>
        <w:t>peers</w:t>
      </w:r>
      <w:r w:rsidRPr="00390885">
        <w:rPr>
          <w:rFonts w:cs="Arial"/>
        </w:rPr>
        <w:t xml:space="preserve">. </w:t>
      </w:r>
    </w:p>
    <w:p w14:paraId="4533D6ED" w14:textId="77777777" w:rsidR="00965DD0" w:rsidRPr="00390885" w:rsidRDefault="00252270" w:rsidP="00BB5879">
      <w:pPr>
        <w:rPr>
          <w:rFonts w:cs="Arial"/>
        </w:rPr>
      </w:pPr>
      <w:r w:rsidRPr="00390885">
        <w:rPr>
          <w:rFonts w:cs="Arial"/>
        </w:rPr>
        <w:t xml:space="preserve">For example, a pupil in year 5 working within the year 3 curriculum.  </w:t>
      </w:r>
    </w:p>
    <w:p w14:paraId="70C915B7" w14:textId="77777777" w:rsidR="00965DD0" w:rsidRPr="00390885" w:rsidRDefault="00965DD0" w:rsidP="00BB5879">
      <w:pPr>
        <w:rPr>
          <w:rFonts w:cs="Arial"/>
        </w:rPr>
      </w:pPr>
      <w:r w:rsidRPr="00390885">
        <w:rPr>
          <w:rFonts w:cs="Arial"/>
        </w:rPr>
        <w:t xml:space="preserve">At the end of </w:t>
      </w:r>
      <w:r w:rsidR="00252270" w:rsidRPr="00390885">
        <w:rPr>
          <w:rFonts w:cs="Arial"/>
        </w:rPr>
        <w:t>year 2</w:t>
      </w:r>
      <w:r w:rsidRPr="00390885">
        <w:rPr>
          <w:rFonts w:cs="Arial"/>
        </w:rPr>
        <w:t xml:space="preserve"> pupils would be working at </w:t>
      </w:r>
      <w:r w:rsidR="00252270" w:rsidRPr="00390885">
        <w:rPr>
          <w:rFonts w:cs="Arial"/>
        </w:rPr>
        <w:t>pre-key</w:t>
      </w:r>
      <w:r w:rsidRPr="00390885">
        <w:rPr>
          <w:rFonts w:cs="Arial"/>
        </w:rPr>
        <w:t xml:space="preserve"> stage </w:t>
      </w:r>
      <w:r w:rsidR="00252270" w:rsidRPr="00390885">
        <w:rPr>
          <w:rFonts w:cs="Arial"/>
        </w:rPr>
        <w:t xml:space="preserve">1 </w:t>
      </w:r>
      <w:r w:rsidRPr="00390885">
        <w:rPr>
          <w:rFonts w:cs="Arial"/>
        </w:rPr>
        <w:t>standards</w:t>
      </w:r>
    </w:p>
    <w:p w14:paraId="6D530297" w14:textId="77777777" w:rsidR="00965DD0" w:rsidRPr="001C6A63" w:rsidRDefault="00252270" w:rsidP="00BB5879">
      <w:pPr>
        <w:rPr>
          <w:rFonts w:cs="Arial"/>
        </w:rPr>
      </w:pPr>
      <w:r w:rsidRPr="00390885">
        <w:rPr>
          <w:rFonts w:cs="Arial"/>
        </w:rPr>
        <w:t xml:space="preserve">At the </w:t>
      </w:r>
      <w:r w:rsidR="00965DD0" w:rsidRPr="00390885">
        <w:rPr>
          <w:rFonts w:cs="Arial"/>
        </w:rPr>
        <w:t>e</w:t>
      </w:r>
      <w:r w:rsidRPr="00390885">
        <w:rPr>
          <w:rFonts w:cs="Arial"/>
        </w:rPr>
        <w:t>nd of year 6 pupils would be working at pre-key stage 2 standards</w:t>
      </w:r>
      <w:r w:rsidR="00965DD0" w:rsidRPr="001C6A63">
        <w:rPr>
          <w:rFonts w:cs="Arial"/>
        </w:rPr>
        <w:t xml:space="preserve"> </w:t>
      </w:r>
    </w:p>
    <w:p w14:paraId="24975777" w14:textId="77777777" w:rsidR="00D0605E" w:rsidRPr="001C6A63" w:rsidRDefault="00D0605E" w:rsidP="00D57744">
      <w:pPr>
        <w:rPr>
          <w:rFonts w:cs="Arial"/>
        </w:rPr>
      </w:pPr>
    </w:p>
    <w:p w14:paraId="5D032667" w14:textId="77777777" w:rsidR="00910F35" w:rsidRPr="001C6A63" w:rsidRDefault="00A75449" w:rsidP="00D57744">
      <w:pPr>
        <w:rPr>
          <w:rFonts w:cs="Arial"/>
          <w:b/>
        </w:rPr>
      </w:pPr>
      <w:r w:rsidRPr="001C6A63">
        <w:rPr>
          <w:rFonts w:cs="Arial"/>
          <w:b/>
        </w:rPr>
        <w:t xml:space="preserve">Progress </w:t>
      </w:r>
    </w:p>
    <w:p w14:paraId="5CE523C5" w14:textId="77777777" w:rsidR="00910F35" w:rsidRPr="001C6A63" w:rsidRDefault="00910F35" w:rsidP="00D57744">
      <w:pPr>
        <w:rPr>
          <w:rFonts w:cs="Arial"/>
        </w:rPr>
      </w:pPr>
      <w:r w:rsidRPr="001C6A63">
        <w:rPr>
          <w:rFonts w:cs="Arial"/>
        </w:rPr>
        <w:t>This should be in line with other pupils and measured from their starting point.</w:t>
      </w:r>
    </w:p>
    <w:p w14:paraId="5D9A1B0D" w14:textId="77777777" w:rsidR="009F7E82" w:rsidRPr="001C6A63" w:rsidRDefault="009F7E82" w:rsidP="00D57744">
      <w:pPr>
        <w:rPr>
          <w:rFonts w:cs="Arial"/>
        </w:rPr>
      </w:pPr>
    </w:p>
    <w:p w14:paraId="7C0C9D6E" w14:textId="77777777" w:rsidR="009F7E82" w:rsidRPr="001C6A63" w:rsidRDefault="009F7E82" w:rsidP="009F7E82">
      <w:pPr>
        <w:rPr>
          <w:rFonts w:cs="Arial"/>
          <w:b/>
        </w:rPr>
      </w:pPr>
      <w:r w:rsidRPr="001C6A63">
        <w:rPr>
          <w:rFonts w:cs="Arial"/>
          <w:b/>
        </w:rPr>
        <w:t>Please note …</w:t>
      </w:r>
    </w:p>
    <w:p w14:paraId="0B0091C1" w14:textId="77777777" w:rsidR="009F7E82" w:rsidRPr="001C6A63" w:rsidRDefault="009F7E82" w:rsidP="009F7E82">
      <w:pPr>
        <w:rPr>
          <w:rFonts w:cs="Arial"/>
        </w:rPr>
      </w:pPr>
      <w:r w:rsidRPr="001C6A63">
        <w:rPr>
          <w:rFonts w:cs="Arial"/>
        </w:rPr>
        <w:t>There will always be exceptions as each pupil is an individual. These guidelines are intended to support and assist school judgements.</w:t>
      </w:r>
    </w:p>
    <w:p w14:paraId="2FE45847" w14:textId="77777777" w:rsidR="009F7E82" w:rsidRPr="001C6A63" w:rsidRDefault="009F7E82" w:rsidP="009F7E82">
      <w:pPr>
        <w:rPr>
          <w:rFonts w:cs="Arial"/>
        </w:rPr>
      </w:pPr>
    </w:p>
    <w:p w14:paraId="661B7A5A" w14:textId="77777777" w:rsidR="009F7E82" w:rsidRPr="001C6A63" w:rsidRDefault="009F7E82" w:rsidP="009F7E82">
      <w:pPr>
        <w:pStyle w:val="Default"/>
      </w:pPr>
      <w:r w:rsidRPr="001C6A63">
        <w:t>In psychological assessment terms the term MLD only applies to those who fall in the bottom 2% on a cognitive assessment.</w:t>
      </w:r>
    </w:p>
    <w:p w14:paraId="4731B160" w14:textId="77777777" w:rsidR="00983D94" w:rsidRPr="001C6A63" w:rsidRDefault="00983D94" w:rsidP="00D57744">
      <w:pPr>
        <w:rPr>
          <w:rFonts w:cs="Arial"/>
        </w:rPr>
      </w:pPr>
    </w:p>
    <w:p w14:paraId="586E922E" w14:textId="77777777" w:rsidR="00C45345" w:rsidRPr="001C6A63" w:rsidRDefault="00C45345" w:rsidP="00D57744">
      <w:pPr>
        <w:rPr>
          <w:rFonts w:cs="Arial"/>
          <w:b/>
        </w:rPr>
      </w:pPr>
      <w:r w:rsidRPr="001C6A63">
        <w:rPr>
          <w:rFonts w:cs="Arial"/>
          <w:b/>
        </w:rPr>
        <w:t>Other relevant documentation</w:t>
      </w:r>
    </w:p>
    <w:p w14:paraId="24EAD48A" w14:textId="4D1E9361" w:rsidR="00910F35" w:rsidRPr="001C6A63" w:rsidRDefault="00C45345" w:rsidP="00D57744">
      <w:pPr>
        <w:rPr>
          <w:rFonts w:cs="Arial"/>
        </w:rPr>
      </w:pPr>
      <w:r w:rsidRPr="001C6A63">
        <w:rPr>
          <w:rFonts w:cs="Arial"/>
        </w:rPr>
        <w:t xml:space="preserve">SEND </w:t>
      </w:r>
      <w:r w:rsidR="00910F35" w:rsidRPr="001C6A63">
        <w:rPr>
          <w:rFonts w:cs="Arial"/>
        </w:rPr>
        <w:t>Mainstre</w:t>
      </w:r>
      <w:r w:rsidRPr="001C6A63">
        <w:rPr>
          <w:rFonts w:cs="Arial"/>
        </w:rPr>
        <w:t>am G</w:t>
      </w:r>
      <w:r w:rsidR="00910F35" w:rsidRPr="001C6A63">
        <w:rPr>
          <w:rFonts w:cs="Arial"/>
        </w:rPr>
        <w:t>uidance</w:t>
      </w:r>
      <w:r w:rsidRPr="001C6A63">
        <w:rPr>
          <w:rFonts w:cs="Arial"/>
        </w:rPr>
        <w:t xml:space="preserve"> </w:t>
      </w:r>
    </w:p>
    <w:p w14:paraId="5FE88633" w14:textId="77777777" w:rsidR="00910F35" w:rsidRPr="001C6A63" w:rsidRDefault="00910F35" w:rsidP="00D57744">
      <w:pPr>
        <w:rPr>
          <w:rFonts w:cs="Arial"/>
        </w:rPr>
      </w:pPr>
      <w:r w:rsidRPr="001C6A63">
        <w:rPr>
          <w:rFonts w:cs="Arial"/>
        </w:rPr>
        <w:t>E</w:t>
      </w:r>
      <w:r w:rsidR="00B20AEF" w:rsidRPr="001C6A63">
        <w:rPr>
          <w:rFonts w:cs="Arial"/>
        </w:rPr>
        <w:t xml:space="preserve">arly </w:t>
      </w:r>
      <w:r w:rsidRPr="001C6A63">
        <w:rPr>
          <w:rFonts w:cs="Arial"/>
        </w:rPr>
        <w:t>Y</w:t>
      </w:r>
      <w:r w:rsidR="00B20AEF" w:rsidRPr="001C6A63">
        <w:rPr>
          <w:rFonts w:cs="Arial"/>
        </w:rPr>
        <w:t>ears</w:t>
      </w:r>
      <w:r w:rsidRPr="001C6A63">
        <w:rPr>
          <w:rFonts w:cs="Arial"/>
        </w:rPr>
        <w:t xml:space="preserve"> </w:t>
      </w:r>
      <w:r w:rsidR="00B20AEF" w:rsidRPr="001C6A63">
        <w:rPr>
          <w:rFonts w:cs="Arial"/>
        </w:rPr>
        <w:t xml:space="preserve">assessment </w:t>
      </w:r>
      <w:r w:rsidRPr="001C6A63">
        <w:rPr>
          <w:rFonts w:cs="Arial"/>
        </w:rPr>
        <w:t>screens</w:t>
      </w:r>
    </w:p>
    <w:p w14:paraId="76714B15" w14:textId="77777777" w:rsidR="00910F35" w:rsidRPr="001C6A63" w:rsidRDefault="00910F35" w:rsidP="00D57744">
      <w:pPr>
        <w:rPr>
          <w:rFonts w:cs="Arial"/>
        </w:rPr>
      </w:pPr>
      <w:r w:rsidRPr="001C6A63">
        <w:rPr>
          <w:rFonts w:cs="Arial"/>
        </w:rPr>
        <w:t>L</w:t>
      </w:r>
      <w:r w:rsidR="00B20AEF" w:rsidRPr="001C6A63">
        <w:rPr>
          <w:rFonts w:cs="Arial"/>
        </w:rPr>
        <w:t xml:space="preserve">earning </w:t>
      </w:r>
      <w:r w:rsidRPr="001C6A63">
        <w:rPr>
          <w:rFonts w:cs="Arial"/>
        </w:rPr>
        <w:t>D</w:t>
      </w:r>
      <w:r w:rsidR="00B20AEF" w:rsidRPr="001C6A63">
        <w:rPr>
          <w:rFonts w:cs="Arial"/>
        </w:rPr>
        <w:t>ifficulties</w:t>
      </w:r>
      <w:r w:rsidRPr="001C6A63">
        <w:rPr>
          <w:rFonts w:cs="Arial"/>
        </w:rPr>
        <w:t xml:space="preserve"> </w:t>
      </w:r>
      <w:r w:rsidR="00B20AEF" w:rsidRPr="001C6A63">
        <w:rPr>
          <w:rFonts w:cs="Arial"/>
        </w:rPr>
        <w:t xml:space="preserve">assessment </w:t>
      </w:r>
      <w:r w:rsidRPr="001C6A63">
        <w:rPr>
          <w:rFonts w:cs="Arial"/>
        </w:rPr>
        <w:t>screen</w:t>
      </w:r>
    </w:p>
    <w:p w14:paraId="735A6ECB" w14:textId="77777777" w:rsidR="004568AE" w:rsidRPr="001C6A63" w:rsidRDefault="004568AE" w:rsidP="004568AE">
      <w:pPr>
        <w:rPr>
          <w:rFonts w:cs="Arial"/>
        </w:rPr>
      </w:pPr>
      <w:r w:rsidRPr="001C6A63">
        <w:rPr>
          <w:rFonts w:cs="Arial"/>
        </w:rPr>
        <w:t xml:space="preserve">Initial teacher concern form </w:t>
      </w:r>
    </w:p>
    <w:p w14:paraId="6F595FD9" w14:textId="77777777" w:rsidR="00D57744" w:rsidRPr="001C6A63" w:rsidRDefault="00D57744" w:rsidP="00D57744">
      <w:pPr>
        <w:autoSpaceDE w:val="0"/>
        <w:autoSpaceDN w:val="0"/>
        <w:adjustRightInd w:val="0"/>
        <w:rPr>
          <w:rFonts w:cs="Arial"/>
          <w:lang w:eastAsia="en-GB"/>
        </w:rPr>
      </w:pPr>
    </w:p>
    <w:p w14:paraId="52BEFCA5" w14:textId="77777777" w:rsidR="0089199A" w:rsidRPr="001C6A63" w:rsidRDefault="0089199A" w:rsidP="00D57744">
      <w:pPr>
        <w:autoSpaceDE w:val="0"/>
        <w:autoSpaceDN w:val="0"/>
        <w:adjustRightInd w:val="0"/>
        <w:rPr>
          <w:rFonts w:cs="Arial"/>
          <w:lang w:eastAsia="en-GB"/>
        </w:rPr>
      </w:pPr>
    </w:p>
    <w:p w14:paraId="03EF26AE" w14:textId="77777777" w:rsidR="0089199A" w:rsidRDefault="0089199A" w:rsidP="00D57744">
      <w:pPr>
        <w:autoSpaceDE w:val="0"/>
        <w:autoSpaceDN w:val="0"/>
        <w:adjustRightInd w:val="0"/>
        <w:rPr>
          <w:rFonts w:cs="Arial"/>
          <w:lang w:eastAsia="en-GB"/>
        </w:rPr>
      </w:pPr>
    </w:p>
    <w:p w14:paraId="08AB816F" w14:textId="77777777" w:rsidR="001C6A63" w:rsidRPr="001C6A63" w:rsidRDefault="001C6A63" w:rsidP="00D57744">
      <w:pPr>
        <w:autoSpaceDE w:val="0"/>
        <w:autoSpaceDN w:val="0"/>
        <w:adjustRightInd w:val="0"/>
        <w:rPr>
          <w:rFonts w:cs="Arial"/>
          <w:lang w:eastAsia="en-GB"/>
        </w:rPr>
      </w:pPr>
    </w:p>
    <w:p w14:paraId="369136D9" w14:textId="13717FC9" w:rsidR="00B76BF7" w:rsidRPr="001C6A63" w:rsidRDefault="0089199A" w:rsidP="0089199A">
      <w:pPr>
        <w:rPr>
          <w:rFonts w:cs="Arial"/>
          <w:b/>
        </w:rPr>
      </w:pPr>
      <w:r w:rsidRPr="00390885">
        <w:rPr>
          <w:rFonts w:cs="Arial"/>
          <w:b/>
        </w:rPr>
        <w:t>Guidelines for Cognition and Learning</w:t>
      </w:r>
      <w:r w:rsidRPr="00390885">
        <w:rPr>
          <w:rFonts w:cs="Arial"/>
          <w:b/>
          <w:i/>
        </w:rPr>
        <w:t xml:space="preserve"> (</w:t>
      </w:r>
      <w:r w:rsidRPr="00390885">
        <w:rPr>
          <w:rFonts w:cs="Arial"/>
          <w:b/>
        </w:rPr>
        <w:t xml:space="preserve">MLD) </w:t>
      </w:r>
    </w:p>
    <w:p w14:paraId="7BF1ED28" w14:textId="77777777" w:rsidR="006D7E2C" w:rsidRPr="001C6A63" w:rsidRDefault="006D7E2C" w:rsidP="0089199A">
      <w:pPr>
        <w:rPr>
          <w:rFonts w:cs="Arial"/>
          <w:b/>
        </w:rPr>
      </w:pPr>
      <w:r w:rsidRPr="001C6A63">
        <w:rPr>
          <w:rFonts w:cs="Arial"/>
          <w:b/>
        </w:rPr>
        <w:t xml:space="preserve">If a pupil is working within the purple phase, or below, school should use the </w:t>
      </w:r>
      <w:r w:rsidR="00B76BF7" w:rsidRPr="001C6A63">
        <w:rPr>
          <w:rFonts w:cs="Arial"/>
          <w:b/>
        </w:rPr>
        <w:t xml:space="preserve">above </w:t>
      </w:r>
      <w:r w:rsidRPr="001C6A63">
        <w:rPr>
          <w:rFonts w:cs="Arial"/>
          <w:b/>
        </w:rPr>
        <w:t>guidelines to help inform a decision as to whether they should be placed at SEN support for MLD</w:t>
      </w:r>
      <w:r w:rsidR="00B76BF7" w:rsidRPr="001C6A63">
        <w:rPr>
          <w:rFonts w:cs="Arial"/>
          <w:b/>
        </w:rPr>
        <w:t>.</w:t>
      </w:r>
    </w:p>
    <w:p w14:paraId="0B241EEE" w14:textId="77777777" w:rsidR="0089199A" w:rsidRPr="001C6A63" w:rsidRDefault="0089199A" w:rsidP="0089199A">
      <w:pPr>
        <w:rPr>
          <w:rFonts w:cs="Arial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9199A" w:rsidRPr="001C6A63" w14:paraId="6129A58C" w14:textId="77777777" w:rsidTr="003809A6">
        <w:tc>
          <w:tcPr>
            <w:tcW w:w="1951" w:type="dxa"/>
            <w:shd w:val="clear" w:color="auto" w:fill="auto"/>
          </w:tcPr>
          <w:p w14:paraId="03C34CA2" w14:textId="6A95E263" w:rsidR="0089199A" w:rsidRPr="001C6A63" w:rsidRDefault="00390885" w:rsidP="003809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SCART</w:t>
            </w:r>
            <w:r w:rsidR="0089199A" w:rsidRPr="001C6A63">
              <w:rPr>
                <w:rFonts w:cs="Arial"/>
                <w:b/>
              </w:rPr>
              <w:t xml:space="preserve"> Phase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5F90DB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B450FA1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7566E2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F8CC4F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8C2D53C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57B0CCF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CA7028A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E1961D2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7ECA6829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360AF9E9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  <w:r w:rsidRPr="001C6A63">
              <w:rPr>
                <w:rFonts w:cs="Arial"/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E2233CA" w14:textId="77777777" w:rsidR="0089199A" w:rsidRPr="001C6A63" w:rsidRDefault="0089199A" w:rsidP="003809A6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  <w:tr w:rsidR="0089199A" w:rsidRPr="001C6A63" w14:paraId="26F01D21" w14:textId="77777777" w:rsidTr="006D7E2C">
        <w:trPr>
          <w:trHeight w:val="713"/>
        </w:trPr>
        <w:tc>
          <w:tcPr>
            <w:tcW w:w="1951" w:type="dxa"/>
            <w:shd w:val="clear" w:color="auto" w:fill="auto"/>
          </w:tcPr>
          <w:p w14:paraId="15C0CB8C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204D6B9D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552630E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2E5FEA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4F22599E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73D4D26B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9952C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00CC"/>
          </w:tcPr>
          <w:p w14:paraId="0309522C" w14:textId="77777777" w:rsidR="006D7E2C" w:rsidRPr="001C6A63" w:rsidRDefault="006D7E2C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A2061A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DD0DC0E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096CFF1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4B415A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BAED3D4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D0115AD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 xml:space="preserve">         </w:t>
            </w:r>
          </w:p>
        </w:tc>
        <w:tc>
          <w:tcPr>
            <w:tcW w:w="1134" w:type="dxa"/>
            <w:shd w:val="clear" w:color="auto" w:fill="auto"/>
          </w:tcPr>
          <w:p w14:paraId="3DA9676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</w:tr>
      <w:tr w:rsidR="0089199A" w:rsidRPr="001C6A63" w14:paraId="215AAD81" w14:textId="77777777" w:rsidTr="00F05F38">
        <w:tc>
          <w:tcPr>
            <w:tcW w:w="1951" w:type="dxa"/>
            <w:shd w:val="clear" w:color="auto" w:fill="auto"/>
          </w:tcPr>
          <w:p w14:paraId="649A3E7F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0C5C813B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Yr2</w:t>
            </w:r>
          </w:p>
        </w:tc>
        <w:tc>
          <w:tcPr>
            <w:tcW w:w="1134" w:type="dxa"/>
            <w:shd w:val="clear" w:color="auto" w:fill="auto"/>
          </w:tcPr>
          <w:p w14:paraId="53D667E9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635D2751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7BA27D2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0B964B28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CDE2E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00CC"/>
          </w:tcPr>
          <w:p w14:paraId="388743B6" w14:textId="77777777" w:rsidR="006D7E2C" w:rsidRPr="001C6A63" w:rsidRDefault="006D7E2C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83D7E00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FF00"/>
          </w:tcPr>
          <w:p w14:paraId="2A179A85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Expected level</w:t>
            </w:r>
          </w:p>
        </w:tc>
        <w:tc>
          <w:tcPr>
            <w:tcW w:w="1134" w:type="dxa"/>
            <w:shd w:val="clear" w:color="auto" w:fill="auto"/>
          </w:tcPr>
          <w:p w14:paraId="668FB5F5" w14:textId="77777777" w:rsidR="0089199A" w:rsidRPr="001C6A63" w:rsidRDefault="0089199A" w:rsidP="003809A6">
            <w:pPr>
              <w:jc w:val="center"/>
              <w:rPr>
                <w:rFonts w:cs="Arial"/>
                <w:b/>
              </w:rPr>
            </w:pPr>
          </w:p>
          <w:p w14:paraId="32446972" w14:textId="77777777" w:rsidR="0089199A" w:rsidRPr="001C6A63" w:rsidRDefault="0089199A" w:rsidP="003809A6">
            <w:pPr>
              <w:jc w:val="center"/>
              <w:rPr>
                <w:rFonts w:cs="Arial"/>
                <w:b/>
              </w:rPr>
            </w:pPr>
          </w:p>
          <w:p w14:paraId="058E1468" w14:textId="77777777" w:rsidR="0089199A" w:rsidRPr="001C6A63" w:rsidRDefault="0089199A" w:rsidP="003809A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6B19307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56244B0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5F20947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</w:tr>
      <w:tr w:rsidR="0089199A" w:rsidRPr="001C6A63" w14:paraId="6FEF84F0" w14:textId="77777777" w:rsidTr="006D7E2C">
        <w:trPr>
          <w:trHeight w:val="878"/>
        </w:trPr>
        <w:tc>
          <w:tcPr>
            <w:tcW w:w="1951" w:type="dxa"/>
            <w:shd w:val="clear" w:color="auto" w:fill="auto"/>
          </w:tcPr>
          <w:p w14:paraId="2EBEF6FF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6F1652E6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14:paraId="46773F96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67CF250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0CD291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AED24B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2C646C9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00CC"/>
          </w:tcPr>
          <w:p w14:paraId="7B96680E" w14:textId="77777777" w:rsidR="006D7E2C" w:rsidRPr="001C6A63" w:rsidRDefault="006D7E2C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22D58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665A02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C97E0E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99B15FE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DA78D97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</w:tr>
      <w:tr w:rsidR="0089199A" w:rsidRPr="001C6A63" w14:paraId="2A7523AF" w14:textId="77777777" w:rsidTr="006D7E2C">
        <w:tc>
          <w:tcPr>
            <w:tcW w:w="1951" w:type="dxa"/>
            <w:shd w:val="clear" w:color="auto" w:fill="auto"/>
          </w:tcPr>
          <w:p w14:paraId="52CBD609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70DEF201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4</w:t>
            </w:r>
          </w:p>
        </w:tc>
        <w:tc>
          <w:tcPr>
            <w:tcW w:w="1134" w:type="dxa"/>
            <w:shd w:val="clear" w:color="auto" w:fill="auto"/>
          </w:tcPr>
          <w:p w14:paraId="33F70F4B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28127EB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8935352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F056C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D3D7F35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B460492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00CC"/>
          </w:tcPr>
          <w:p w14:paraId="082A39A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6F32CC9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4A0A08CA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7E000B31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BA408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E4A39E9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09C6255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</w:tr>
      <w:tr w:rsidR="0089199A" w:rsidRPr="001C6A63" w14:paraId="5840B272" w14:textId="77777777" w:rsidTr="006D7E2C">
        <w:trPr>
          <w:trHeight w:val="860"/>
        </w:trPr>
        <w:tc>
          <w:tcPr>
            <w:tcW w:w="1951" w:type="dxa"/>
            <w:shd w:val="clear" w:color="auto" w:fill="auto"/>
          </w:tcPr>
          <w:p w14:paraId="6AE6AB04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2E3BAC5E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5</w:t>
            </w:r>
          </w:p>
          <w:p w14:paraId="42506BFD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24B9A96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49761F85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3A3FF8A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58F433F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  <w:p w14:paraId="7413BA39" w14:textId="77777777" w:rsidR="0089199A" w:rsidRPr="001C6A63" w:rsidRDefault="0089199A" w:rsidP="003809A6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3DC23F4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5C1C3D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B40669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00CC"/>
          </w:tcPr>
          <w:p w14:paraId="3466B11A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A50CCF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E93D49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EE0FC6D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</w:tr>
      <w:tr w:rsidR="0089199A" w:rsidRPr="001C6A63" w14:paraId="4C6B87DD" w14:textId="77777777" w:rsidTr="00F05F38">
        <w:trPr>
          <w:trHeight w:val="844"/>
        </w:trPr>
        <w:tc>
          <w:tcPr>
            <w:tcW w:w="1951" w:type="dxa"/>
            <w:shd w:val="clear" w:color="auto" w:fill="auto"/>
          </w:tcPr>
          <w:p w14:paraId="450A98E1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End</w:t>
            </w:r>
          </w:p>
          <w:p w14:paraId="4297C4EF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</w:tcPr>
          <w:p w14:paraId="536ACC74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433270DB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1205EE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1E643A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9BE0ED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B4B799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844D8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39F0C4F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CC00CC"/>
          </w:tcPr>
          <w:p w14:paraId="67A80BA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D35D5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00FF00"/>
          </w:tcPr>
          <w:p w14:paraId="2BB1508A" w14:textId="77777777" w:rsidR="0089199A" w:rsidRPr="001C6A63" w:rsidRDefault="006D7E2C" w:rsidP="00F05F38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>Expected level</w:t>
            </w:r>
          </w:p>
        </w:tc>
      </w:tr>
      <w:tr w:rsidR="0089199A" w:rsidRPr="001C6A63" w14:paraId="6F22E444" w14:textId="77777777" w:rsidTr="006D7E2C">
        <w:trPr>
          <w:trHeight w:val="829"/>
        </w:trPr>
        <w:tc>
          <w:tcPr>
            <w:tcW w:w="1951" w:type="dxa"/>
            <w:shd w:val="clear" w:color="auto" w:fill="auto"/>
          </w:tcPr>
          <w:p w14:paraId="5447F8EF" w14:textId="77777777" w:rsidR="0089199A" w:rsidRPr="001C6A63" w:rsidRDefault="0089199A" w:rsidP="003809A6">
            <w:pPr>
              <w:rPr>
                <w:rFonts w:cs="Arial"/>
                <w:b/>
              </w:rPr>
            </w:pPr>
            <w:r w:rsidRPr="001C6A63">
              <w:rPr>
                <w:rFonts w:cs="Arial"/>
                <w:b/>
              </w:rPr>
              <w:t xml:space="preserve">End </w:t>
            </w:r>
          </w:p>
          <w:p w14:paraId="6825C5E2" w14:textId="77777777" w:rsidR="0089199A" w:rsidRPr="001C6A63" w:rsidRDefault="0089199A" w:rsidP="003809A6">
            <w:pPr>
              <w:rPr>
                <w:rFonts w:cs="Arial"/>
                <w:b/>
              </w:rPr>
            </w:pPr>
            <w:proofErr w:type="spellStart"/>
            <w:r w:rsidRPr="001C6A63">
              <w:rPr>
                <w:rFonts w:cs="Arial"/>
                <w:b/>
              </w:rPr>
              <w:t>Yr</w:t>
            </w:r>
            <w:proofErr w:type="spellEnd"/>
            <w:r w:rsidRPr="001C6A63">
              <w:rPr>
                <w:rFonts w:cs="Arial"/>
                <w:b/>
              </w:rPr>
              <w:t xml:space="preserve"> 7</w:t>
            </w:r>
          </w:p>
        </w:tc>
        <w:tc>
          <w:tcPr>
            <w:tcW w:w="1134" w:type="dxa"/>
            <w:shd w:val="clear" w:color="auto" w:fill="auto"/>
          </w:tcPr>
          <w:p w14:paraId="0C255FDF" w14:textId="77777777" w:rsidR="0089199A" w:rsidRPr="001C6A63" w:rsidRDefault="0089199A" w:rsidP="003809A6">
            <w:pPr>
              <w:rPr>
                <w:rFonts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0DBAFA7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6EE51A3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FBECE5B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5FF415E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C7B717D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6BDA70C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4BE3AA6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0DCAA21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CC00CC"/>
          </w:tcPr>
          <w:p w14:paraId="1C7773D4" w14:textId="77777777" w:rsidR="0089199A" w:rsidRPr="001C6A63" w:rsidRDefault="0089199A" w:rsidP="003809A6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DA35C91" w14:textId="77777777" w:rsidR="0089199A" w:rsidRPr="001C6A63" w:rsidRDefault="0089199A" w:rsidP="003809A6">
            <w:pPr>
              <w:jc w:val="center"/>
              <w:rPr>
                <w:rFonts w:cs="Arial"/>
                <w:b/>
              </w:rPr>
            </w:pPr>
          </w:p>
        </w:tc>
      </w:tr>
    </w:tbl>
    <w:p w14:paraId="289BEA62" w14:textId="77777777" w:rsidR="0089199A" w:rsidRPr="001C6A63" w:rsidRDefault="0089199A" w:rsidP="0089199A">
      <w:pPr>
        <w:rPr>
          <w:rFonts w:cs="Arial"/>
          <w:b/>
        </w:rPr>
      </w:pPr>
    </w:p>
    <w:p w14:paraId="007B77D0" w14:textId="77777777" w:rsidR="0089199A" w:rsidRPr="001C6A63" w:rsidRDefault="0089199A" w:rsidP="0089199A">
      <w:pPr>
        <w:rPr>
          <w:rFonts w:cs="Arial"/>
          <w:b/>
        </w:rPr>
      </w:pPr>
    </w:p>
    <w:p w14:paraId="1BB0219C" w14:textId="77777777" w:rsidR="0089199A" w:rsidRPr="001C6A63" w:rsidRDefault="0089199A" w:rsidP="0089199A">
      <w:pPr>
        <w:rPr>
          <w:rFonts w:cs="Arial"/>
          <w:b/>
          <w:color w:val="FF0000"/>
        </w:rPr>
      </w:pPr>
      <w:r w:rsidRPr="000E37CA">
        <w:rPr>
          <w:rFonts w:cs="Arial"/>
          <w:b/>
          <w:color w:val="C00000"/>
        </w:rPr>
        <w:t>REMEMBER</w:t>
      </w:r>
    </w:p>
    <w:p w14:paraId="4F06163E" w14:textId="77777777" w:rsidR="0089199A" w:rsidRPr="001C6A63" w:rsidRDefault="0089199A" w:rsidP="006546BF">
      <w:pPr>
        <w:rPr>
          <w:rFonts w:cs="Arial"/>
          <w:b/>
        </w:rPr>
      </w:pPr>
      <w:r w:rsidRPr="001C6A63">
        <w:rPr>
          <w:rFonts w:cs="Arial"/>
          <w:b/>
        </w:rPr>
        <w:br/>
        <w:t xml:space="preserve">There will always be exceptions as each pupil is an individual. The grid and guidelines are intended to support and assist teacher judgements. </w:t>
      </w:r>
    </w:p>
    <w:sectPr w:rsidR="0089199A" w:rsidRPr="001C6A63" w:rsidSect="0089199A">
      <w:footerReference w:type="default" r:id="rId10"/>
      <w:pgSz w:w="16838" w:h="11906" w:orient="landscape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51EB" w14:textId="77777777" w:rsidR="00252AED" w:rsidRDefault="00252AED" w:rsidP="000930C6">
      <w:r>
        <w:separator/>
      </w:r>
    </w:p>
  </w:endnote>
  <w:endnote w:type="continuationSeparator" w:id="0">
    <w:p w14:paraId="4C927732" w14:textId="77777777" w:rsidR="00252AED" w:rsidRDefault="00252AED" w:rsidP="000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71A8" w14:textId="78A956BD" w:rsidR="00374C38" w:rsidRPr="00390885" w:rsidRDefault="00390885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</w:t>
    </w:r>
    <w:r w:rsidR="00840D7D" w:rsidRPr="00390885">
      <w:rPr>
        <w:sz w:val="20"/>
        <w:szCs w:val="20"/>
      </w:rPr>
      <w:t>School Effectiveness SEN team September 20</w:t>
    </w:r>
    <w:r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6E63" w14:textId="77777777" w:rsidR="00252AED" w:rsidRDefault="00252AED" w:rsidP="000930C6">
      <w:r>
        <w:separator/>
      </w:r>
    </w:p>
  </w:footnote>
  <w:footnote w:type="continuationSeparator" w:id="0">
    <w:p w14:paraId="22C6AFFF" w14:textId="77777777" w:rsidR="00252AED" w:rsidRDefault="00252AED" w:rsidP="0009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055374C3"/>
    <w:multiLevelType w:val="hybridMultilevel"/>
    <w:tmpl w:val="65640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062"/>
    <w:multiLevelType w:val="hybridMultilevel"/>
    <w:tmpl w:val="81505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690"/>
    <w:multiLevelType w:val="hybridMultilevel"/>
    <w:tmpl w:val="9262565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DCC4CA9"/>
    <w:multiLevelType w:val="hybridMultilevel"/>
    <w:tmpl w:val="749AC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44E2"/>
    <w:multiLevelType w:val="hybridMultilevel"/>
    <w:tmpl w:val="B0EE40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62EB"/>
    <w:multiLevelType w:val="hybridMultilevel"/>
    <w:tmpl w:val="359AA3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770F5"/>
    <w:multiLevelType w:val="hybridMultilevel"/>
    <w:tmpl w:val="DE40E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64D39"/>
    <w:multiLevelType w:val="hybridMultilevel"/>
    <w:tmpl w:val="F85A1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5A0F"/>
    <w:multiLevelType w:val="hybridMultilevel"/>
    <w:tmpl w:val="2D347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11082"/>
    <w:multiLevelType w:val="hybridMultilevel"/>
    <w:tmpl w:val="0E1812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09"/>
    <w:rsid w:val="00055BB6"/>
    <w:rsid w:val="00070A2F"/>
    <w:rsid w:val="00082C2C"/>
    <w:rsid w:val="000908F9"/>
    <w:rsid w:val="0009251B"/>
    <w:rsid w:val="000930C6"/>
    <w:rsid w:val="000A1320"/>
    <w:rsid w:val="000A7EA5"/>
    <w:rsid w:val="000B491A"/>
    <w:rsid w:val="000B6861"/>
    <w:rsid w:val="000E37CA"/>
    <w:rsid w:val="00161A8B"/>
    <w:rsid w:val="001624A2"/>
    <w:rsid w:val="00173D7F"/>
    <w:rsid w:val="00195DEB"/>
    <w:rsid w:val="001C4B4A"/>
    <w:rsid w:val="001C6A63"/>
    <w:rsid w:val="001E3802"/>
    <w:rsid w:val="00215A81"/>
    <w:rsid w:val="002174A5"/>
    <w:rsid w:val="0024130C"/>
    <w:rsid w:val="00251B25"/>
    <w:rsid w:val="00252270"/>
    <w:rsid w:val="00252AED"/>
    <w:rsid w:val="002616D1"/>
    <w:rsid w:val="00267743"/>
    <w:rsid w:val="00273B73"/>
    <w:rsid w:val="00277D4F"/>
    <w:rsid w:val="002D1A07"/>
    <w:rsid w:val="002E0ADC"/>
    <w:rsid w:val="002F47EC"/>
    <w:rsid w:val="00322941"/>
    <w:rsid w:val="003410F9"/>
    <w:rsid w:val="00374C38"/>
    <w:rsid w:val="003809A6"/>
    <w:rsid w:val="00390885"/>
    <w:rsid w:val="0039215C"/>
    <w:rsid w:val="00410328"/>
    <w:rsid w:val="004105CF"/>
    <w:rsid w:val="004164A3"/>
    <w:rsid w:val="004339FA"/>
    <w:rsid w:val="00437721"/>
    <w:rsid w:val="004568AE"/>
    <w:rsid w:val="00486278"/>
    <w:rsid w:val="0049401D"/>
    <w:rsid w:val="0049588E"/>
    <w:rsid w:val="004A38FE"/>
    <w:rsid w:val="004F58EA"/>
    <w:rsid w:val="005250CF"/>
    <w:rsid w:val="00531E74"/>
    <w:rsid w:val="00562971"/>
    <w:rsid w:val="0056593B"/>
    <w:rsid w:val="00573FAC"/>
    <w:rsid w:val="005918A0"/>
    <w:rsid w:val="005A697D"/>
    <w:rsid w:val="005C5AF2"/>
    <w:rsid w:val="005E1AA5"/>
    <w:rsid w:val="005F0287"/>
    <w:rsid w:val="006159DB"/>
    <w:rsid w:val="00636BF6"/>
    <w:rsid w:val="006546BF"/>
    <w:rsid w:val="00657F74"/>
    <w:rsid w:val="00661259"/>
    <w:rsid w:val="006677C1"/>
    <w:rsid w:val="00676B46"/>
    <w:rsid w:val="00686E87"/>
    <w:rsid w:val="006923D1"/>
    <w:rsid w:val="00696ED2"/>
    <w:rsid w:val="00697AED"/>
    <w:rsid w:val="006A3E17"/>
    <w:rsid w:val="006A6E2E"/>
    <w:rsid w:val="006C6044"/>
    <w:rsid w:val="006D7E2C"/>
    <w:rsid w:val="006E2816"/>
    <w:rsid w:val="007028CF"/>
    <w:rsid w:val="00705B4B"/>
    <w:rsid w:val="007414A6"/>
    <w:rsid w:val="0074184E"/>
    <w:rsid w:val="00743741"/>
    <w:rsid w:val="007872AD"/>
    <w:rsid w:val="007E0534"/>
    <w:rsid w:val="008028CD"/>
    <w:rsid w:val="00802950"/>
    <w:rsid w:val="00835C5B"/>
    <w:rsid w:val="00840D7D"/>
    <w:rsid w:val="008543EA"/>
    <w:rsid w:val="00886FC6"/>
    <w:rsid w:val="0089199A"/>
    <w:rsid w:val="008C0A9D"/>
    <w:rsid w:val="008F2826"/>
    <w:rsid w:val="00910F35"/>
    <w:rsid w:val="009128B8"/>
    <w:rsid w:val="00917ACA"/>
    <w:rsid w:val="009378A4"/>
    <w:rsid w:val="00945F77"/>
    <w:rsid w:val="00947F1A"/>
    <w:rsid w:val="00955C66"/>
    <w:rsid w:val="00965DD0"/>
    <w:rsid w:val="00974935"/>
    <w:rsid w:val="00983D94"/>
    <w:rsid w:val="009D10E1"/>
    <w:rsid w:val="009F0E73"/>
    <w:rsid w:val="009F7E82"/>
    <w:rsid w:val="00A323A5"/>
    <w:rsid w:val="00A41CAE"/>
    <w:rsid w:val="00A5235D"/>
    <w:rsid w:val="00A6668D"/>
    <w:rsid w:val="00A75449"/>
    <w:rsid w:val="00AD6321"/>
    <w:rsid w:val="00B00066"/>
    <w:rsid w:val="00B20AEF"/>
    <w:rsid w:val="00B361EB"/>
    <w:rsid w:val="00B76BF7"/>
    <w:rsid w:val="00BB5879"/>
    <w:rsid w:val="00C24ED1"/>
    <w:rsid w:val="00C45345"/>
    <w:rsid w:val="00C64699"/>
    <w:rsid w:val="00C96AD2"/>
    <w:rsid w:val="00CB4A2C"/>
    <w:rsid w:val="00CB5381"/>
    <w:rsid w:val="00CC1A0A"/>
    <w:rsid w:val="00CE6075"/>
    <w:rsid w:val="00D0605E"/>
    <w:rsid w:val="00D075F3"/>
    <w:rsid w:val="00D46BCC"/>
    <w:rsid w:val="00D53425"/>
    <w:rsid w:val="00D57744"/>
    <w:rsid w:val="00D6710C"/>
    <w:rsid w:val="00D916A2"/>
    <w:rsid w:val="00DC0612"/>
    <w:rsid w:val="00DD1214"/>
    <w:rsid w:val="00E21CC0"/>
    <w:rsid w:val="00E2426C"/>
    <w:rsid w:val="00E24914"/>
    <w:rsid w:val="00E34E9A"/>
    <w:rsid w:val="00E667B6"/>
    <w:rsid w:val="00E752EF"/>
    <w:rsid w:val="00EC6971"/>
    <w:rsid w:val="00EC6E23"/>
    <w:rsid w:val="00EF2426"/>
    <w:rsid w:val="00EF422F"/>
    <w:rsid w:val="00F020AE"/>
    <w:rsid w:val="00F05F38"/>
    <w:rsid w:val="00F368E4"/>
    <w:rsid w:val="00F3733A"/>
    <w:rsid w:val="00F4784B"/>
    <w:rsid w:val="00F81A09"/>
    <w:rsid w:val="00FD487A"/>
    <w:rsid w:val="00FD6567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43E904A"/>
  <w15:chartTrackingRefBased/>
  <w15:docId w15:val="{17C3A2BE-B683-43FB-9B2D-C33721F5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84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character" w:styleId="Hyperlink">
    <w:name w:val="Hyperlink"/>
    <w:rsid w:val="00636BF6"/>
    <w:rPr>
      <w:color w:val="0000FF"/>
      <w:u w:val="single"/>
    </w:rPr>
  </w:style>
  <w:style w:type="paragraph" w:customStyle="1" w:styleId="Default">
    <w:name w:val="Default"/>
    <w:rsid w:val="00093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C64699"/>
    <w:rPr>
      <w:color w:val="808080"/>
      <w:shd w:val="clear" w:color="auto" w:fill="E6E6E6"/>
    </w:rPr>
  </w:style>
  <w:style w:type="character" w:styleId="FollowedHyperlink">
    <w:name w:val="FollowedHyperlink"/>
    <w:rsid w:val="00F368E4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4F5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58E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53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398815/SEND_Code_of_Practice_January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17DD-7A9C-4B19-B483-77488FC5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Guidance for placing pupils at School Action for MLD</vt:lpstr>
    </vt:vector>
  </TitlesOfParts>
  <Company>Newcastle City Council</Company>
  <LinksUpToDate>false</LinksUpToDate>
  <CharactersWithSpaces>5410</CharactersWithSpaces>
  <SharedDoc>false</SharedDoc>
  <HLinks>
    <vt:vector size="6" baseType="variant">
      <vt:variant>
        <vt:i4>2621482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https://assets.publishing.service.gov.uk/government/uploads/system/uploads/attachment_data/file/398815/SEND_Code_of_Practice_January_2015.pdf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Guidance for placing pupils at School Action for MLD</dc:title>
  <dc:subject/>
  <dc:creator>18506</dc:creator>
  <cp:keywords/>
  <dc:description/>
  <cp:lastModifiedBy>Foote, Paul</cp:lastModifiedBy>
  <cp:revision>3</cp:revision>
  <cp:lastPrinted>2018-11-07T11:09:00Z</cp:lastPrinted>
  <dcterms:created xsi:type="dcterms:W3CDTF">2021-11-22T09:37:00Z</dcterms:created>
  <dcterms:modified xsi:type="dcterms:W3CDTF">2021-11-22T09:39:00Z</dcterms:modified>
</cp:coreProperties>
</file>