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373E" w14:textId="43521E5B" w:rsidR="00EE0AAC" w:rsidRDefault="00E46F25">
      <w:r>
        <w:rPr>
          <w:noProof/>
          <w:lang w:eastAsia="en-GB"/>
        </w:rPr>
        <w:drawing>
          <wp:inline distT="0" distB="0" distL="0" distR="0" wp14:anchorId="115B31B0" wp14:editId="1E1A8E18">
            <wp:extent cx="1854200" cy="571500"/>
            <wp:effectExtent l="0" t="0" r="0" b="0"/>
            <wp:docPr id="2" name="Picture 2" descr="ncc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cclogo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C93">
        <w:rPr>
          <w:noProof/>
          <w:lang w:eastAsia="en-GB"/>
        </w:rPr>
        <w:drawing>
          <wp:inline distT="0" distB="0" distL="0" distR="0" wp14:anchorId="28640EF4" wp14:editId="2575D1CA">
            <wp:extent cx="1504950" cy="501650"/>
            <wp:effectExtent l="0" t="0" r="0" b="0"/>
            <wp:docPr id="1" name="Picture 1" descr="Thank You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ank You (2)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6B97" w14:textId="4123543A" w:rsidR="00E46F25" w:rsidRDefault="00E46F25"/>
    <w:p w14:paraId="6D1179D1" w14:textId="64FC77A8" w:rsidR="00AF1CB9" w:rsidRDefault="00505611" w:rsidP="00AF1CB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School </w:t>
      </w:r>
      <w:r w:rsidR="00E46F25" w:rsidRPr="00940ED5">
        <w:rPr>
          <w:rFonts w:ascii="Arial" w:hAnsi="Arial" w:cs="Arial"/>
          <w:b/>
          <w:bCs/>
          <w:sz w:val="28"/>
          <w:szCs w:val="28"/>
          <w:u w:val="single"/>
        </w:rPr>
        <w:t>SEN support plan guidance notes</w:t>
      </w:r>
    </w:p>
    <w:p w14:paraId="0EE42D47" w14:textId="261D86CD" w:rsidR="00E46F25" w:rsidRPr="009708A9" w:rsidRDefault="00505611">
      <w:pPr>
        <w:rPr>
          <w:rFonts w:ascii="Arial" w:hAnsi="Arial" w:cs="Arial"/>
          <w:b/>
          <w:bCs/>
          <w:sz w:val="24"/>
          <w:szCs w:val="24"/>
        </w:rPr>
      </w:pPr>
      <w:r w:rsidRPr="009708A9">
        <w:rPr>
          <w:rFonts w:ascii="Arial" w:hAnsi="Arial" w:cs="Arial"/>
          <w:b/>
          <w:bCs/>
          <w:sz w:val="24"/>
          <w:szCs w:val="24"/>
        </w:rPr>
        <w:t xml:space="preserve">For pupils in nursery and reception please use the </w:t>
      </w:r>
      <w:r w:rsidR="00AF1CB9" w:rsidRPr="009708A9">
        <w:rPr>
          <w:rFonts w:ascii="Arial" w:hAnsi="Arial" w:cs="Arial"/>
          <w:b/>
          <w:bCs/>
          <w:sz w:val="24"/>
          <w:szCs w:val="24"/>
        </w:rPr>
        <w:t xml:space="preserve">Early Years </w:t>
      </w:r>
      <w:r w:rsidRPr="009708A9">
        <w:rPr>
          <w:rFonts w:ascii="Arial" w:hAnsi="Arial" w:cs="Arial"/>
          <w:b/>
          <w:bCs/>
          <w:sz w:val="24"/>
          <w:szCs w:val="24"/>
        </w:rPr>
        <w:t xml:space="preserve">SEN </w:t>
      </w:r>
      <w:r w:rsidR="00AF1CB9" w:rsidRPr="009708A9">
        <w:rPr>
          <w:rFonts w:ascii="Arial" w:hAnsi="Arial" w:cs="Arial"/>
          <w:b/>
          <w:bCs/>
          <w:sz w:val="24"/>
          <w:szCs w:val="24"/>
        </w:rPr>
        <w:t>support plan</w:t>
      </w:r>
      <w:r w:rsidRPr="009708A9">
        <w:rPr>
          <w:rFonts w:ascii="Arial" w:hAnsi="Arial" w:cs="Arial"/>
          <w:b/>
          <w:bCs/>
          <w:sz w:val="24"/>
          <w:szCs w:val="24"/>
        </w:rPr>
        <w:t xml:space="preserve"> and guidance.  </w:t>
      </w:r>
    </w:p>
    <w:p w14:paraId="039575BF" w14:textId="77777777" w:rsidR="009B1FE2" w:rsidRDefault="009B1FE2" w:rsidP="00654A10">
      <w:pPr>
        <w:pStyle w:val="BodyText"/>
        <w:spacing w:after="120" w:line="276" w:lineRule="auto"/>
        <w:ind w:right="266"/>
        <w:rPr>
          <w:b/>
        </w:rPr>
      </w:pPr>
      <w:r w:rsidRPr="009B1FE2">
        <w:rPr>
          <w:b/>
        </w:rPr>
        <w:t xml:space="preserve">Newcastle Local Area, Getting It Right Together, SEND Quality Assurance Framework </w:t>
      </w:r>
      <w:r>
        <w:rPr>
          <w:b/>
        </w:rPr>
        <w:t>(</w:t>
      </w:r>
      <w:r w:rsidRPr="009B1FE2">
        <w:rPr>
          <w:b/>
        </w:rPr>
        <w:t>August 2020</w:t>
      </w:r>
      <w:r>
        <w:rPr>
          <w:b/>
        </w:rPr>
        <w:t>) states that:</w:t>
      </w:r>
    </w:p>
    <w:p w14:paraId="1E3C39C2" w14:textId="2D7BDB36" w:rsidR="00654A10" w:rsidRDefault="00654A10" w:rsidP="00654A10">
      <w:pPr>
        <w:pStyle w:val="BodyText"/>
        <w:spacing w:after="120" w:line="276" w:lineRule="auto"/>
        <w:ind w:right="266"/>
      </w:pPr>
      <w:r>
        <w:t xml:space="preserve">SEND Leaders in Newcastle think that we can be </w:t>
      </w:r>
      <w:proofErr w:type="gramStart"/>
      <w:r>
        <w:t>really good</w:t>
      </w:r>
      <w:proofErr w:type="gramEnd"/>
      <w:r>
        <w:t xml:space="preserve"> at what we do if:</w:t>
      </w:r>
    </w:p>
    <w:p w14:paraId="07807FFA" w14:textId="587C7F89" w:rsidR="00654A10" w:rsidRPr="00EC3C6B" w:rsidRDefault="00654A10" w:rsidP="00EC3C6B">
      <w:pPr>
        <w:pStyle w:val="ListParagraph"/>
        <w:widowControl w:val="0"/>
        <w:numPr>
          <w:ilvl w:val="0"/>
          <w:numId w:val="3"/>
        </w:numPr>
        <w:tabs>
          <w:tab w:val="left" w:pos="1418"/>
        </w:tabs>
        <w:autoSpaceDE w:val="0"/>
        <w:autoSpaceDN w:val="0"/>
        <w:spacing w:after="120" w:line="276" w:lineRule="auto"/>
        <w:ind w:right="629"/>
        <w:rPr>
          <w:rFonts w:ascii="Arial" w:hAnsi="Arial" w:cs="Arial"/>
          <w:sz w:val="24"/>
          <w:szCs w:val="24"/>
        </w:rPr>
      </w:pPr>
      <w:r w:rsidRPr="00EC3C6B">
        <w:rPr>
          <w:rFonts w:ascii="Arial" w:hAnsi="Arial" w:cs="Arial"/>
          <w:sz w:val="24"/>
          <w:szCs w:val="24"/>
        </w:rPr>
        <w:t>SEN Support is</w:t>
      </w:r>
      <w:r w:rsidRPr="00EC3C6B">
        <w:rPr>
          <w:rFonts w:ascii="Arial" w:hAnsi="Arial" w:cs="Arial"/>
          <w:b/>
          <w:bCs/>
          <w:color w:val="002060"/>
          <w:sz w:val="24"/>
          <w:szCs w:val="24"/>
        </w:rPr>
        <w:t xml:space="preserve"> shaped by</w:t>
      </w:r>
      <w:r w:rsidRPr="00EC3C6B">
        <w:rPr>
          <w:rFonts w:ascii="Arial" w:hAnsi="Arial" w:cs="Arial"/>
          <w:color w:val="002060"/>
          <w:sz w:val="24"/>
          <w:szCs w:val="24"/>
        </w:rPr>
        <w:t xml:space="preserve"> </w:t>
      </w:r>
      <w:r w:rsidRPr="00EC3C6B">
        <w:rPr>
          <w:rFonts w:ascii="Arial" w:hAnsi="Arial" w:cs="Arial"/>
          <w:sz w:val="24"/>
          <w:szCs w:val="24"/>
        </w:rPr>
        <w:t>the views, wishes and feelings of children, young people, their families and</w:t>
      </w:r>
      <w:r w:rsidRPr="00EC3C6B">
        <w:rPr>
          <w:rFonts w:ascii="Arial" w:hAnsi="Arial" w:cs="Arial"/>
          <w:spacing w:val="-5"/>
          <w:sz w:val="24"/>
          <w:szCs w:val="24"/>
        </w:rPr>
        <w:t xml:space="preserve"> </w:t>
      </w:r>
      <w:r w:rsidRPr="00EC3C6B">
        <w:rPr>
          <w:rFonts w:ascii="Arial" w:hAnsi="Arial" w:cs="Arial"/>
          <w:sz w:val="24"/>
          <w:szCs w:val="24"/>
        </w:rPr>
        <w:t>carers</w:t>
      </w:r>
    </w:p>
    <w:p w14:paraId="67BA4BA5" w14:textId="065BF77D" w:rsidR="00654A10" w:rsidRPr="00654A10" w:rsidRDefault="00EC3C6B" w:rsidP="00654A10">
      <w:pPr>
        <w:pStyle w:val="ListParagraph"/>
        <w:widowControl w:val="0"/>
        <w:numPr>
          <w:ilvl w:val="0"/>
          <w:numId w:val="3"/>
        </w:numPr>
        <w:tabs>
          <w:tab w:val="left" w:pos="941"/>
        </w:tabs>
        <w:autoSpaceDE w:val="0"/>
        <w:autoSpaceDN w:val="0"/>
        <w:spacing w:after="120" w:line="276" w:lineRule="auto"/>
        <w:ind w:left="1080" w:right="631"/>
        <w:contextualSpacing w:val="0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54A10" w:rsidRPr="00654A10">
        <w:rPr>
          <w:rFonts w:ascii="Arial" w:hAnsi="Arial" w:cs="Arial"/>
          <w:sz w:val="24"/>
          <w:szCs w:val="24"/>
        </w:rPr>
        <w:t xml:space="preserve">We can demonstrate that the SEN support is totally </w:t>
      </w:r>
      <w:r w:rsidR="00654A10" w:rsidRPr="00654A10">
        <w:rPr>
          <w:rFonts w:ascii="Arial" w:hAnsi="Arial" w:cs="Arial"/>
          <w:b/>
          <w:bCs/>
          <w:color w:val="002060"/>
          <w:sz w:val="24"/>
          <w:szCs w:val="24"/>
        </w:rPr>
        <w:t>person centred.</w:t>
      </w:r>
    </w:p>
    <w:p w14:paraId="210FC270" w14:textId="4BE561FE" w:rsidR="00654A10" w:rsidRPr="00654A10" w:rsidRDefault="00EC3C6B" w:rsidP="00654A10">
      <w:pPr>
        <w:pStyle w:val="ListParagraph"/>
        <w:numPr>
          <w:ilvl w:val="0"/>
          <w:numId w:val="3"/>
        </w:numPr>
        <w:tabs>
          <w:tab w:val="left" w:pos="941"/>
        </w:tabs>
        <w:autoSpaceDN w:val="0"/>
        <w:spacing w:after="120" w:line="276" w:lineRule="auto"/>
        <w:ind w:right="631"/>
        <w:contextualSpacing w:val="0"/>
        <w:rPr>
          <w:rFonts w:ascii="Arial" w:eastAsia="Calibri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54A10" w:rsidRPr="00654A10">
        <w:rPr>
          <w:rFonts w:ascii="Arial" w:hAnsi="Arial" w:cs="Arial"/>
          <w:sz w:val="24"/>
          <w:szCs w:val="24"/>
        </w:rPr>
        <w:t xml:space="preserve">Settings consistently provide </w:t>
      </w:r>
      <w:r w:rsidR="00654A10" w:rsidRPr="00654A10">
        <w:rPr>
          <w:rFonts w:ascii="Arial" w:hAnsi="Arial" w:cs="Arial"/>
          <w:b/>
          <w:bCs/>
          <w:color w:val="002060"/>
          <w:sz w:val="24"/>
          <w:szCs w:val="24"/>
        </w:rPr>
        <w:t>quality first provision</w:t>
      </w:r>
      <w:r w:rsidR="00654A10" w:rsidRPr="00654A10"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2D9E4047" w14:textId="23056566" w:rsidR="00654A10" w:rsidRPr="00654A10" w:rsidRDefault="00654A10" w:rsidP="00654A10">
      <w:pPr>
        <w:spacing w:after="120" w:line="276" w:lineRule="auto"/>
        <w:ind w:left="500"/>
        <w:rPr>
          <w:rFonts w:ascii="Arial" w:eastAsia="Calibri" w:hAnsi="Arial" w:cs="Arial"/>
          <w:color w:val="010202"/>
          <w:sz w:val="24"/>
          <w:szCs w:val="24"/>
        </w:rPr>
      </w:pPr>
      <w:r w:rsidRPr="00654A10">
        <w:rPr>
          <w:rFonts w:ascii="Arial" w:eastAsia="Calibri" w:hAnsi="Arial" w:cs="Arial"/>
          <w:sz w:val="24"/>
          <w:szCs w:val="24"/>
        </w:rPr>
        <w:t xml:space="preserve">SEN Support </w:t>
      </w:r>
      <w:r w:rsidRPr="00654A10">
        <w:rPr>
          <w:rFonts w:ascii="Arial" w:eastAsia="Calibri" w:hAnsi="Arial" w:cs="Arial"/>
          <w:color w:val="010202"/>
          <w:sz w:val="24"/>
          <w:szCs w:val="24"/>
        </w:rPr>
        <w:t>plans are developed through a robust ‘</w:t>
      </w:r>
      <w:r w:rsidRPr="00654A10">
        <w:rPr>
          <w:rFonts w:ascii="Arial" w:eastAsia="Calibri" w:hAnsi="Arial" w:cs="Arial"/>
          <w:b/>
          <w:bCs/>
          <w:color w:val="002060"/>
          <w:sz w:val="24"/>
          <w:szCs w:val="24"/>
        </w:rPr>
        <w:t>Assess, Plan, Do, Review’</w:t>
      </w:r>
      <w:r w:rsidRPr="00654A10">
        <w:rPr>
          <w:rFonts w:ascii="Arial" w:eastAsia="Calibri" w:hAnsi="Arial" w:cs="Arial"/>
          <w:color w:val="002060"/>
          <w:sz w:val="24"/>
          <w:szCs w:val="24"/>
        </w:rPr>
        <w:t xml:space="preserve"> </w:t>
      </w:r>
      <w:r w:rsidRPr="00654A10">
        <w:rPr>
          <w:rFonts w:ascii="Arial" w:eastAsia="Calibri" w:hAnsi="Arial" w:cs="Arial"/>
          <w:color w:val="010202"/>
          <w:sz w:val="24"/>
          <w:szCs w:val="24"/>
        </w:rPr>
        <w:t xml:space="preserve">cycle, including clear timelines of interventions, professional involvement and outcomes. </w:t>
      </w:r>
    </w:p>
    <w:p w14:paraId="398E1B3C" w14:textId="670E0A2E" w:rsidR="00654A10" w:rsidRPr="00414158" w:rsidRDefault="009C675E" w:rsidP="00654A10">
      <w:pPr>
        <w:spacing w:before="81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A56508" w:rsidRPr="00414158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Newcastle Local Area, Getting It Right Together, SEND Quality Assurance Framework, August 2020 </w:t>
        </w:r>
      </w:hyperlink>
    </w:p>
    <w:p w14:paraId="0AB9BB24" w14:textId="4B72084A" w:rsidR="00EA55B5" w:rsidRPr="00E868D7" w:rsidRDefault="00CB0DE7" w:rsidP="00CB0DE7">
      <w:pPr>
        <w:jc w:val="both"/>
        <w:rPr>
          <w:rFonts w:ascii="Arial" w:hAnsi="Arial" w:cs="Arial"/>
          <w:sz w:val="24"/>
          <w:szCs w:val="24"/>
        </w:rPr>
      </w:pPr>
      <w:r w:rsidRPr="003D3563">
        <w:rPr>
          <w:rFonts w:ascii="Arial" w:hAnsi="Arial" w:cs="Arial"/>
          <w:sz w:val="24"/>
          <w:szCs w:val="24"/>
        </w:rPr>
        <w:t xml:space="preserve">This document will be required </w:t>
      </w:r>
      <w:r w:rsidR="00E868D7" w:rsidRPr="003D3563">
        <w:rPr>
          <w:rFonts w:ascii="Arial" w:hAnsi="Arial" w:cs="Arial"/>
          <w:sz w:val="24"/>
          <w:szCs w:val="24"/>
        </w:rPr>
        <w:t xml:space="preserve">by the LA </w:t>
      </w:r>
      <w:r w:rsidRPr="003D3563">
        <w:rPr>
          <w:rFonts w:ascii="Arial" w:hAnsi="Arial" w:cs="Arial"/>
          <w:sz w:val="24"/>
          <w:szCs w:val="24"/>
        </w:rPr>
        <w:t xml:space="preserve">for </w:t>
      </w:r>
      <w:r w:rsidR="003D3563" w:rsidRPr="003D3563">
        <w:rPr>
          <w:rFonts w:ascii="Arial" w:hAnsi="Arial" w:cs="Arial"/>
          <w:sz w:val="24"/>
          <w:szCs w:val="24"/>
        </w:rPr>
        <w:t xml:space="preserve">requests to </w:t>
      </w:r>
      <w:r w:rsidR="00143BA8" w:rsidRPr="00D94F74">
        <w:rPr>
          <w:rFonts w:ascii="Arial" w:hAnsi="Arial" w:cs="Arial"/>
          <w:sz w:val="24"/>
          <w:szCs w:val="24"/>
        </w:rPr>
        <w:t xml:space="preserve">SEND </w:t>
      </w:r>
      <w:r w:rsidR="004009A1" w:rsidRPr="00D94F74">
        <w:rPr>
          <w:rFonts w:ascii="Arial" w:hAnsi="Arial" w:cs="Arial"/>
          <w:sz w:val="24"/>
          <w:szCs w:val="24"/>
        </w:rPr>
        <w:t>ASAP</w:t>
      </w:r>
      <w:r w:rsidR="00143BA8" w:rsidRPr="00D94F74">
        <w:rPr>
          <w:rFonts w:ascii="Arial" w:hAnsi="Arial" w:cs="Arial"/>
          <w:sz w:val="24"/>
          <w:szCs w:val="24"/>
        </w:rPr>
        <w:t xml:space="preserve"> (advice, support and allocation panel)</w:t>
      </w:r>
      <w:r w:rsidRPr="00D94F74">
        <w:rPr>
          <w:rFonts w:ascii="Arial" w:hAnsi="Arial" w:cs="Arial"/>
          <w:sz w:val="24"/>
          <w:szCs w:val="24"/>
        </w:rPr>
        <w:t>,</w:t>
      </w:r>
      <w:r w:rsidRPr="003D3563">
        <w:rPr>
          <w:rFonts w:ascii="Arial" w:hAnsi="Arial" w:cs="Arial"/>
          <w:sz w:val="24"/>
          <w:szCs w:val="24"/>
        </w:rPr>
        <w:t xml:space="preserve"> AR</w:t>
      </w:r>
      <w:r w:rsidR="00E868D7" w:rsidRPr="003D3563">
        <w:rPr>
          <w:rFonts w:ascii="Arial" w:hAnsi="Arial" w:cs="Arial"/>
          <w:sz w:val="24"/>
          <w:szCs w:val="24"/>
        </w:rPr>
        <w:t>P</w:t>
      </w:r>
      <w:r w:rsidRPr="003D3563">
        <w:rPr>
          <w:rFonts w:ascii="Arial" w:hAnsi="Arial" w:cs="Arial"/>
          <w:sz w:val="24"/>
          <w:szCs w:val="24"/>
        </w:rPr>
        <w:t xml:space="preserve"> referrals and EHC</w:t>
      </w:r>
      <w:r w:rsidR="00E868D7" w:rsidRPr="003D3563">
        <w:rPr>
          <w:rFonts w:ascii="Arial" w:hAnsi="Arial" w:cs="Arial"/>
          <w:sz w:val="24"/>
          <w:szCs w:val="24"/>
        </w:rPr>
        <w:t xml:space="preserve"> assessment</w:t>
      </w:r>
      <w:r w:rsidRPr="003D3563">
        <w:rPr>
          <w:rFonts w:ascii="Arial" w:hAnsi="Arial" w:cs="Arial"/>
          <w:sz w:val="24"/>
          <w:szCs w:val="24"/>
        </w:rPr>
        <w:t xml:space="preserve"> </w:t>
      </w:r>
      <w:r w:rsidR="003D3563" w:rsidRPr="003D3563">
        <w:rPr>
          <w:rFonts w:ascii="Arial" w:hAnsi="Arial" w:cs="Arial"/>
          <w:sz w:val="24"/>
          <w:szCs w:val="24"/>
        </w:rPr>
        <w:t>applications</w:t>
      </w:r>
      <w:r w:rsidRPr="003D3563">
        <w:rPr>
          <w:rFonts w:ascii="Arial" w:hAnsi="Arial" w:cs="Arial"/>
          <w:sz w:val="24"/>
          <w:szCs w:val="24"/>
        </w:rPr>
        <w:t xml:space="preserve">. It is hoped, however, that SENCOs will find it useful and will adopt it for all pupils </w:t>
      </w:r>
      <w:r w:rsidR="00E868D7" w:rsidRPr="003D3563">
        <w:rPr>
          <w:rFonts w:ascii="Arial" w:hAnsi="Arial" w:cs="Arial"/>
          <w:sz w:val="24"/>
          <w:szCs w:val="24"/>
        </w:rPr>
        <w:t xml:space="preserve">at SEN support </w:t>
      </w:r>
      <w:r w:rsidRPr="003D3563">
        <w:rPr>
          <w:rFonts w:ascii="Arial" w:hAnsi="Arial" w:cs="Arial"/>
          <w:sz w:val="24"/>
          <w:szCs w:val="24"/>
        </w:rPr>
        <w:t>ensuring consistency across the city.</w:t>
      </w:r>
      <w:r w:rsidRPr="00E868D7">
        <w:rPr>
          <w:rFonts w:ascii="Arial" w:hAnsi="Arial" w:cs="Arial"/>
          <w:sz w:val="24"/>
          <w:szCs w:val="24"/>
        </w:rPr>
        <w:t xml:space="preserve"> </w:t>
      </w:r>
    </w:p>
    <w:p w14:paraId="7FE2EA89" w14:textId="59EBB644" w:rsidR="00654A10" w:rsidRPr="008E3031" w:rsidRDefault="00EA55B5" w:rsidP="00EA55B5">
      <w:pPr>
        <w:spacing w:before="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Completing the SEN support plan:</w:t>
      </w:r>
    </w:p>
    <w:p w14:paraId="42BC240C" w14:textId="178365B8" w:rsidR="008E3031" w:rsidRPr="008E3031" w:rsidRDefault="008E3031" w:rsidP="008E3031">
      <w:pPr>
        <w:pStyle w:val="ListParagraph"/>
        <w:numPr>
          <w:ilvl w:val="0"/>
          <w:numId w:val="5"/>
        </w:numPr>
        <w:spacing w:before="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on page one</w:t>
      </w:r>
      <w:r w:rsidRPr="008E3031">
        <w:rPr>
          <w:rFonts w:ascii="Arial" w:hAnsi="Arial" w:cs="Arial"/>
          <w:sz w:val="24"/>
          <w:szCs w:val="24"/>
        </w:rPr>
        <w:t xml:space="preserve"> may not need to be updated every term</w:t>
      </w:r>
      <w:r w:rsidR="009708A9">
        <w:rPr>
          <w:rFonts w:ascii="Arial" w:hAnsi="Arial" w:cs="Arial"/>
          <w:sz w:val="24"/>
          <w:szCs w:val="24"/>
        </w:rPr>
        <w:t>.</w:t>
      </w:r>
    </w:p>
    <w:p w14:paraId="0431B09C" w14:textId="73FC491E" w:rsidR="00E46F25" w:rsidRPr="00176F18" w:rsidRDefault="00E46F25" w:rsidP="00E46F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6F25">
        <w:rPr>
          <w:rFonts w:ascii="Arial" w:hAnsi="Arial" w:cs="Arial"/>
          <w:sz w:val="24"/>
          <w:szCs w:val="24"/>
        </w:rPr>
        <w:t>The plan should be co</w:t>
      </w:r>
      <w:r w:rsidR="00940ED5">
        <w:rPr>
          <w:rFonts w:ascii="Arial" w:hAnsi="Arial" w:cs="Arial"/>
          <w:sz w:val="24"/>
          <w:szCs w:val="24"/>
        </w:rPr>
        <w:t>-</w:t>
      </w:r>
      <w:r w:rsidRPr="00E46F25">
        <w:rPr>
          <w:rFonts w:ascii="Arial" w:hAnsi="Arial" w:cs="Arial"/>
          <w:sz w:val="24"/>
          <w:szCs w:val="24"/>
        </w:rPr>
        <w:t xml:space="preserve">produced with the </w:t>
      </w:r>
      <w:r w:rsidR="00EA55B5">
        <w:rPr>
          <w:rFonts w:ascii="Arial" w:hAnsi="Arial" w:cs="Arial"/>
          <w:sz w:val="24"/>
          <w:szCs w:val="24"/>
        </w:rPr>
        <w:t xml:space="preserve">child / young person (CYP) </w:t>
      </w:r>
      <w:r w:rsidRPr="00E46F25">
        <w:rPr>
          <w:rFonts w:ascii="Arial" w:hAnsi="Arial" w:cs="Arial"/>
          <w:sz w:val="24"/>
          <w:szCs w:val="24"/>
        </w:rPr>
        <w:t>and family</w:t>
      </w:r>
      <w:r w:rsidR="00C61152">
        <w:rPr>
          <w:rFonts w:ascii="Arial" w:hAnsi="Arial" w:cs="Arial"/>
          <w:sz w:val="24"/>
          <w:szCs w:val="24"/>
        </w:rPr>
        <w:t>/</w:t>
      </w:r>
      <w:r w:rsidR="00C61152" w:rsidRPr="00176F18">
        <w:rPr>
          <w:rFonts w:ascii="Arial" w:hAnsi="Arial" w:cs="Arial"/>
          <w:sz w:val="24"/>
          <w:szCs w:val="24"/>
        </w:rPr>
        <w:t>carers</w:t>
      </w:r>
      <w:r w:rsidR="00EA55B5" w:rsidRPr="00176F18">
        <w:rPr>
          <w:rFonts w:ascii="Arial" w:hAnsi="Arial" w:cs="Arial"/>
          <w:sz w:val="24"/>
          <w:szCs w:val="24"/>
        </w:rPr>
        <w:t>.</w:t>
      </w:r>
      <w:r w:rsidR="00C61152" w:rsidRPr="00176F18">
        <w:rPr>
          <w:rFonts w:ascii="Arial" w:hAnsi="Arial" w:cs="Arial"/>
          <w:sz w:val="24"/>
          <w:szCs w:val="24"/>
        </w:rPr>
        <w:t xml:space="preserve"> </w:t>
      </w:r>
      <w:r w:rsidR="007B3FA4" w:rsidRPr="009708A9">
        <w:rPr>
          <w:rFonts w:ascii="Arial" w:hAnsi="Arial" w:cs="Arial"/>
          <w:sz w:val="24"/>
          <w:szCs w:val="24"/>
        </w:rPr>
        <w:t>The CYP strengths should be included on the plan. This may be within the ‘Things I want you to know about me’ and ‘My family say about me’ sections.</w:t>
      </w:r>
      <w:r w:rsidR="007B3FA4">
        <w:rPr>
          <w:rFonts w:ascii="Arial" w:hAnsi="Arial" w:cs="Arial"/>
          <w:sz w:val="24"/>
          <w:szCs w:val="24"/>
        </w:rPr>
        <w:t xml:space="preserve"> </w:t>
      </w:r>
    </w:p>
    <w:p w14:paraId="56AE2EE9" w14:textId="1F7F7ADC" w:rsidR="002A4814" w:rsidRDefault="00C61152" w:rsidP="00E46F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6F18">
        <w:rPr>
          <w:rFonts w:ascii="Arial" w:hAnsi="Arial" w:cs="Arial"/>
          <w:sz w:val="24"/>
          <w:szCs w:val="24"/>
        </w:rPr>
        <w:t xml:space="preserve">The word ‘family’ on the first page </w:t>
      </w:r>
      <w:r w:rsidR="00176F18" w:rsidRPr="00176F18">
        <w:rPr>
          <w:rFonts w:ascii="Arial" w:hAnsi="Arial" w:cs="Arial"/>
          <w:sz w:val="24"/>
          <w:szCs w:val="24"/>
        </w:rPr>
        <w:t>c</w:t>
      </w:r>
      <w:r w:rsidRPr="00176F18">
        <w:rPr>
          <w:rFonts w:ascii="Arial" w:hAnsi="Arial" w:cs="Arial"/>
          <w:sz w:val="24"/>
          <w:szCs w:val="24"/>
        </w:rPr>
        <w:t xml:space="preserve">ould be amended to ‘carer/people I live with’ where necessary. </w:t>
      </w:r>
      <w:r w:rsidR="00E46F25" w:rsidRPr="00176F18">
        <w:rPr>
          <w:rFonts w:ascii="Arial" w:hAnsi="Arial" w:cs="Arial"/>
          <w:sz w:val="24"/>
          <w:szCs w:val="24"/>
        </w:rPr>
        <w:t xml:space="preserve">When gathering the </w:t>
      </w:r>
      <w:r w:rsidR="00EA55B5" w:rsidRPr="00176F18">
        <w:rPr>
          <w:rFonts w:ascii="Arial" w:hAnsi="Arial" w:cs="Arial"/>
          <w:sz w:val="24"/>
          <w:szCs w:val="24"/>
        </w:rPr>
        <w:t>CYP</w:t>
      </w:r>
      <w:r w:rsidR="00E46F25" w:rsidRPr="00176F18">
        <w:rPr>
          <w:rFonts w:ascii="Arial" w:hAnsi="Arial" w:cs="Arial"/>
          <w:sz w:val="24"/>
          <w:szCs w:val="24"/>
        </w:rPr>
        <w:t xml:space="preserve"> and family</w:t>
      </w:r>
      <w:r w:rsidRPr="00176F18">
        <w:rPr>
          <w:rFonts w:ascii="Arial" w:hAnsi="Arial" w:cs="Arial"/>
          <w:sz w:val="24"/>
          <w:szCs w:val="24"/>
        </w:rPr>
        <w:t>/carer</w:t>
      </w:r>
      <w:r w:rsidR="00E46F25">
        <w:rPr>
          <w:rFonts w:ascii="Arial" w:hAnsi="Arial" w:cs="Arial"/>
          <w:sz w:val="24"/>
          <w:szCs w:val="24"/>
        </w:rPr>
        <w:t xml:space="preserve"> views please include their dreams and aspirations. Keep in mind the four areas in preparing for adulthood</w:t>
      </w:r>
      <w:r w:rsidR="002A481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A4814">
        <w:rPr>
          <w:rFonts w:ascii="Arial" w:hAnsi="Arial" w:cs="Arial"/>
          <w:sz w:val="24"/>
          <w:szCs w:val="24"/>
        </w:rPr>
        <w:t>PfA</w:t>
      </w:r>
      <w:proofErr w:type="spellEnd"/>
      <w:r w:rsidR="002A4814">
        <w:rPr>
          <w:rFonts w:ascii="Arial" w:hAnsi="Arial" w:cs="Arial"/>
          <w:sz w:val="24"/>
          <w:szCs w:val="24"/>
        </w:rPr>
        <w:t>)</w:t>
      </w:r>
      <w:r w:rsidR="00E46F25">
        <w:rPr>
          <w:rFonts w:ascii="Arial" w:hAnsi="Arial" w:cs="Arial"/>
          <w:sz w:val="24"/>
          <w:szCs w:val="24"/>
        </w:rPr>
        <w:t xml:space="preserve">  </w:t>
      </w:r>
      <w:hyperlink r:id="rId12" w:history="1">
        <w:proofErr w:type="spellStart"/>
        <w:r w:rsidR="00185BB8" w:rsidRPr="00414158">
          <w:rPr>
            <w:rStyle w:val="Hyperlink"/>
            <w:rFonts w:ascii="Arial" w:hAnsi="Arial" w:cs="Arial"/>
            <w:color w:val="0070C0"/>
            <w:sz w:val="24"/>
            <w:szCs w:val="24"/>
          </w:rPr>
          <w:t>PfA</w:t>
        </w:r>
        <w:proofErr w:type="spellEnd"/>
        <w:r w:rsidR="00185BB8" w:rsidRPr="00414158">
          <w:rPr>
            <w:rStyle w:val="Hyperlink"/>
            <w:rFonts w:ascii="Arial" w:hAnsi="Arial" w:cs="Arial"/>
            <w:color w:val="0070C0"/>
            <w:sz w:val="24"/>
            <w:szCs w:val="24"/>
          </w:rPr>
          <w:t xml:space="preserve"> outcomes by age phase</w:t>
        </w:r>
      </w:hyperlink>
      <w:r w:rsidR="00EA55B5" w:rsidRPr="00A56508">
        <w:rPr>
          <w:rFonts w:ascii="Arial" w:hAnsi="Arial" w:cs="Arial"/>
          <w:color w:val="0070C0"/>
          <w:sz w:val="24"/>
          <w:szCs w:val="24"/>
        </w:rPr>
        <w:t xml:space="preserve"> </w:t>
      </w:r>
      <w:r w:rsidR="00E46F25" w:rsidRPr="00A56508">
        <w:rPr>
          <w:rFonts w:ascii="Arial" w:hAnsi="Arial" w:cs="Arial"/>
          <w:color w:val="0070C0"/>
          <w:sz w:val="24"/>
          <w:szCs w:val="24"/>
        </w:rPr>
        <w:t xml:space="preserve"> </w:t>
      </w:r>
      <w:r w:rsidR="002A4814">
        <w:rPr>
          <w:rFonts w:ascii="Arial" w:hAnsi="Arial" w:cs="Arial"/>
          <w:sz w:val="24"/>
          <w:szCs w:val="24"/>
        </w:rPr>
        <w:t xml:space="preserve">In Newcastle the </w:t>
      </w:r>
      <w:proofErr w:type="spellStart"/>
      <w:r w:rsidR="002A4814">
        <w:rPr>
          <w:rFonts w:ascii="Arial" w:hAnsi="Arial" w:cs="Arial"/>
          <w:sz w:val="24"/>
          <w:szCs w:val="24"/>
        </w:rPr>
        <w:t>PfA</w:t>
      </w:r>
      <w:proofErr w:type="spellEnd"/>
      <w:r w:rsidR="002A4814">
        <w:rPr>
          <w:rFonts w:ascii="Arial" w:hAnsi="Arial" w:cs="Arial"/>
          <w:sz w:val="24"/>
          <w:szCs w:val="24"/>
        </w:rPr>
        <w:t xml:space="preserve"> strategy describes the four areas as:</w:t>
      </w:r>
    </w:p>
    <w:p w14:paraId="618F7151" w14:textId="77777777" w:rsidR="002A4814" w:rsidRDefault="002A4814" w:rsidP="002A48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CYP will be</w:t>
      </w:r>
    </w:p>
    <w:p w14:paraId="5EDC2200" w14:textId="7619199A" w:rsidR="002A4814" w:rsidRDefault="002A4814" w:rsidP="002A48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enabled to take part in education, training and employment</w:t>
      </w:r>
    </w:p>
    <w:p w14:paraId="15D86459" w14:textId="7B1AB10D" w:rsidR="002A4814" w:rsidRDefault="002A4814" w:rsidP="002A48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able to have friends and make a positive contribution to their community</w:t>
      </w:r>
    </w:p>
    <w:p w14:paraId="4A072EEA" w14:textId="32A4370B" w:rsidR="002A4814" w:rsidRDefault="002A4814" w:rsidP="002A48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able to live a</w:t>
      </w:r>
      <w:r w:rsidR="00940E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independently as possible</w:t>
      </w:r>
    </w:p>
    <w:p w14:paraId="1724343A" w14:textId="5B123E1D" w:rsidR="002A4814" w:rsidRDefault="002A4814" w:rsidP="002A481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able to enjoy the best possible health and mental wellbeing. </w:t>
      </w:r>
    </w:p>
    <w:p w14:paraId="3DDC56EA" w14:textId="7C4688D7" w:rsidR="00061273" w:rsidRPr="00061273" w:rsidRDefault="00127B2E" w:rsidP="000612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 of the plan follows the Assess, Plan, Do and Review cycle. Key assessment information </w:t>
      </w:r>
      <w:r w:rsidR="00061273">
        <w:rPr>
          <w:rFonts w:ascii="Arial" w:hAnsi="Arial" w:cs="Arial"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 xml:space="preserve">ould be included in the </w:t>
      </w:r>
      <w:r w:rsidR="000612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ssess section</w:t>
      </w:r>
      <w:r w:rsidR="00061273">
        <w:rPr>
          <w:rFonts w:ascii="Arial" w:hAnsi="Arial" w:cs="Arial"/>
          <w:sz w:val="24"/>
          <w:szCs w:val="24"/>
        </w:rPr>
        <w:t xml:space="preserve"> and progress in the Review </w:t>
      </w:r>
      <w:r w:rsidR="00061273">
        <w:rPr>
          <w:rFonts w:ascii="Arial" w:hAnsi="Arial" w:cs="Arial"/>
          <w:sz w:val="24"/>
          <w:szCs w:val="24"/>
        </w:rPr>
        <w:lastRenderedPageBreak/>
        <w:t>section</w:t>
      </w:r>
      <w:r>
        <w:rPr>
          <w:rFonts w:ascii="Arial" w:hAnsi="Arial" w:cs="Arial"/>
          <w:sz w:val="24"/>
          <w:szCs w:val="24"/>
        </w:rPr>
        <w:t>.</w:t>
      </w:r>
      <w:r w:rsidR="000F227A">
        <w:rPr>
          <w:rFonts w:ascii="Arial" w:hAnsi="Arial" w:cs="Arial"/>
          <w:sz w:val="24"/>
          <w:szCs w:val="24"/>
        </w:rPr>
        <w:t xml:space="preserve"> The Plan section should include </w:t>
      </w:r>
      <w:r w:rsidR="000F227A" w:rsidRPr="009708A9">
        <w:rPr>
          <w:rFonts w:ascii="Arial" w:hAnsi="Arial" w:cs="Arial"/>
          <w:sz w:val="24"/>
          <w:szCs w:val="24"/>
        </w:rPr>
        <w:t>SMART targets</w:t>
      </w:r>
      <w:r w:rsidR="00584976" w:rsidRPr="009708A9">
        <w:rPr>
          <w:rFonts w:ascii="Arial" w:hAnsi="Arial" w:cs="Arial"/>
          <w:sz w:val="24"/>
          <w:szCs w:val="24"/>
        </w:rPr>
        <w:t>/ expected outcomes</w:t>
      </w:r>
      <w:r w:rsidR="000F227A" w:rsidRPr="009708A9">
        <w:rPr>
          <w:rFonts w:ascii="Arial" w:hAnsi="Arial" w:cs="Arial"/>
          <w:sz w:val="24"/>
          <w:szCs w:val="24"/>
        </w:rPr>
        <w:t>.</w:t>
      </w:r>
      <w:r w:rsidR="000F227A">
        <w:rPr>
          <w:rFonts w:ascii="Arial" w:hAnsi="Arial" w:cs="Arial"/>
          <w:sz w:val="24"/>
          <w:szCs w:val="24"/>
        </w:rPr>
        <w:t xml:space="preserve"> </w:t>
      </w:r>
      <w:r w:rsidR="00061273">
        <w:rPr>
          <w:rFonts w:ascii="Arial" w:hAnsi="Arial" w:cs="Arial"/>
          <w:sz w:val="24"/>
          <w:szCs w:val="24"/>
        </w:rPr>
        <w:t>In the Do section suggested strategies</w:t>
      </w:r>
      <w:r w:rsidR="001778FE">
        <w:rPr>
          <w:rFonts w:ascii="Arial" w:hAnsi="Arial" w:cs="Arial"/>
          <w:sz w:val="24"/>
          <w:szCs w:val="24"/>
        </w:rPr>
        <w:t>/</w:t>
      </w:r>
      <w:r w:rsidR="001778FE" w:rsidRPr="00B752D3">
        <w:rPr>
          <w:rFonts w:ascii="Arial" w:hAnsi="Arial" w:cs="Arial"/>
          <w:sz w:val="24"/>
          <w:szCs w:val="24"/>
        </w:rPr>
        <w:t>interventions</w:t>
      </w:r>
      <w:r w:rsidR="00061273">
        <w:rPr>
          <w:rFonts w:ascii="Arial" w:hAnsi="Arial" w:cs="Arial"/>
          <w:sz w:val="24"/>
          <w:szCs w:val="24"/>
        </w:rPr>
        <w:t xml:space="preserve"> could be taken from the </w:t>
      </w:r>
      <w:hyperlink r:id="rId13" w:history="1">
        <w:r w:rsidR="00DA2B3C" w:rsidRPr="001B0891">
          <w:rPr>
            <w:rStyle w:val="Hyperlink"/>
            <w:rFonts w:ascii="Arial" w:hAnsi="Arial" w:cs="Arial"/>
            <w:sz w:val="24"/>
            <w:szCs w:val="24"/>
          </w:rPr>
          <w:t>SEND Mainstream Guidance </w:t>
        </w:r>
      </w:hyperlink>
      <w:r w:rsidR="00584976" w:rsidRPr="001B0891">
        <w:rPr>
          <w:rFonts w:ascii="Arial" w:hAnsi="Arial" w:cs="Arial"/>
          <w:sz w:val="24"/>
          <w:szCs w:val="24"/>
        </w:rPr>
        <w:t>,</w:t>
      </w:r>
      <w:r w:rsidR="00061273">
        <w:rPr>
          <w:rFonts w:ascii="Arial" w:hAnsi="Arial" w:cs="Arial"/>
          <w:sz w:val="24"/>
          <w:szCs w:val="24"/>
        </w:rPr>
        <w:t xml:space="preserve"> the </w:t>
      </w:r>
      <w:hyperlink r:id="rId14" w:history="1">
        <w:r w:rsidR="004D67CB">
          <w:rPr>
            <w:rStyle w:val="Hyperlink"/>
            <w:rFonts w:ascii="Arial" w:hAnsi="Arial" w:cs="Arial"/>
            <w:sz w:val="24"/>
            <w:szCs w:val="24"/>
          </w:rPr>
          <w:t>Universally Available Provision for Early Years</w:t>
        </w:r>
      </w:hyperlink>
      <w:r w:rsidR="00584976">
        <w:rPr>
          <w:rStyle w:val="Hyperlink"/>
          <w:rFonts w:ascii="Arial" w:hAnsi="Arial" w:cs="Arial"/>
          <w:sz w:val="24"/>
          <w:szCs w:val="24"/>
        </w:rPr>
        <w:t xml:space="preserve">  </w:t>
      </w:r>
      <w:r w:rsidR="00584976" w:rsidRPr="009708A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and those advised from outside professionals</w:t>
      </w:r>
      <w:r w:rsidR="00DB6095" w:rsidRPr="009708A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="00CF397F" w:rsidRPr="00CF397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B6095" w:rsidRP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You may want to include acti</w:t>
      </w:r>
      <w:r w:rsid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vities</w:t>
      </w:r>
      <w:r w:rsidR="00DB6095" w:rsidRP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/support the family could</w:t>
      </w:r>
      <w:r w:rsid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DB6095" w:rsidRP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carry out at home</w:t>
      </w:r>
      <w:r w:rsidR="00940ED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</w:t>
      </w:r>
      <w:r w:rsidR="00DB6095" w:rsidRPr="00DB609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if applicable</w:t>
      </w:r>
      <w:r w:rsidR="00DB6095" w:rsidRPr="00DB6095">
        <w:rPr>
          <w:rStyle w:val="Hyperlink"/>
          <w:rFonts w:ascii="Arial" w:hAnsi="Arial" w:cs="Arial"/>
          <w:sz w:val="24"/>
          <w:szCs w:val="24"/>
          <w:u w:val="none"/>
        </w:rPr>
        <w:t>.</w:t>
      </w:r>
    </w:p>
    <w:p w14:paraId="02D73F4F" w14:textId="533040B3" w:rsidR="00940ED5" w:rsidRPr="004B477E" w:rsidRDefault="000F227A" w:rsidP="00127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77E">
        <w:rPr>
          <w:rFonts w:ascii="Arial" w:hAnsi="Arial" w:cs="Arial"/>
          <w:sz w:val="24"/>
          <w:szCs w:val="24"/>
        </w:rPr>
        <w:t>The support plan should be reviewed termly with the CYP and their parents/carers</w:t>
      </w:r>
      <w:r w:rsidR="00584976">
        <w:rPr>
          <w:rFonts w:ascii="Arial" w:hAnsi="Arial" w:cs="Arial"/>
          <w:sz w:val="24"/>
          <w:szCs w:val="24"/>
        </w:rPr>
        <w:t xml:space="preserve"> and </w:t>
      </w:r>
      <w:r w:rsidR="00584976" w:rsidRPr="009708A9">
        <w:rPr>
          <w:rFonts w:ascii="Arial" w:hAnsi="Arial" w:cs="Arial"/>
          <w:sz w:val="24"/>
          <w:szCs w:val="24"/>
        </w:rPr>
        <w:t>recorded in the review section of the document.</w:t>
      </w:r>
    </w:p>
    <w:p w14:paraId="28BE6CC0" w14:textId="00B38320" w:rsidR="00127B2E" w:rsidRDefault="00940ED5" w:rsidP="00127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77E">
        <w:rPr>
          <w:rFonts w:ascii="Arial" w:hAnsi="Arial" w:cs="Arial"/>
          <w:sz w:val="24"/>
          <w:szCs w:val="24"/>
        </w:rPr>
        <w:t xml:space="preserve">At age phase transitions or if a CYP leaves the school please also complete the </w:t>
      </w:r>
      <w:r w:rsidRPr="009C32BD">
        <w:rPr>
          <w:rFonts w:ascii="Arial" w:hAnsi="Arial" w:cs="Arial"/>
          <w:sz w:val="24"/>
          <w:szCs w:val="24"/>
        </w:rPr>
        <w:t>Newcastle Transition document</w:t>
      </w:r>
      <w:r w:rsidR="009C32BD">
        <w:rPr>
          <w:rFonts w:ascii="Arial" w:hAnsi="Arial" w:cs="Arial"/>
          <w:sz w:val="24"/>
          <w:szCs w:val="24"/>
        </w:rPr>
        <w:t xml:space="preserve">s </w:t>
      </w:r>
      <w:hyperlink r:id="rId15" w:history="1">
        <w:r w:rsidR="009C32BD" w:rsidRPr="009C32BD">
          <w:rPr>
            <w:rStyle w:val="Hyperlink"/>
            <w:rFonts w:ascii="Arial" w:hAnsi="Arial" w:cs="Arial"/>
            <w:sz w:val="24"/>
            <w:szCs w:val="24"/>
          </w:rPr>
          <w:t>Primary Transition 2020</w:t>
        </w:r>
      </w:hyperlink>
      <w:r w:rsidR="009C32BD">
        <w:rPr>
          <w:rFonts w:ascii="Arial" w:hAnsi="Arial" w:cs="Arial"/>
          <w:sz w:val="24"/>
          <w:szCs w:val="24"/>
        </w:rPr>
        <w:t xml:space="preserve"> or </w:t>
      </w:r>
      <w:hyperlink r:id="rId16" w:history="1">
        <w:r w:rsidR="009C32BD" w:rsidRPr="009C32BD">
          <w:rPr>
            <w:rStyle w:val="Hyperlink"/>
            <w:rFonts w:ascii="Arial" w:hAnsi="Arial" w:cs="Arial"/>
            <w:sz w:val="24"/>
            <w:szCs w:val="24"/>
          </w:rPr>
          <w:t>Secondary Transition</w:t>
        </w:r>
      </w:hyperlink>
      <w:r w:rsidRPr="004B477E">
        <w:rPr>
          <w:rFonts w:ascii="Arial" w:hAnsi="Arial" w:cs="Arial"/>
          <w:sz w:val="24"/>
          <w:szCs w:val="24"/>
          <w:highlight w:val="magenta"/>
        </w:rPr>
        <w:t xml:space="preserve"> </w:t>
      </w:r>
    </w:p>
    <w:p w14:paraId="644D2E33" w14:textId="26E212F8" w:rsidR="009708A9" w:rsidRDefault="009708A9" w:rsidP="00127B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applicable, complete the access arrangements section.</w:t>
      </w:r>
    </w:p>
    <w:p w14:paraId="113700AC" w14:textId="77777777" w:rsidR="009708A9" w:rsidRPr="009708A9" w:rsidRDefault="009708A9" w:rsidP="009708A9">
      <w:pPr>
        <w:rPr>
          <w:rFonts w:ascii="Arial" w:hAnsi="Arial" w:cs="Arial"/>
          <w:sz w:val="24"/>
          <w:szCs w:val="24"/>
        </w:rPr>
      </w:pPr>
    </w:p>
    <w:p w14:paraId="5C953322" w14:textId="13F8373E" w:rsidR="00AF1CB9" w:rsidRPr="004B477E" w:rsidRDefault="00AF1CB9" w:rsidP="00AF1CB9">
      <w:pPr>
        <w:rPr>
          <w:rFonts w:ascii="Arial" w:hAnsi="Arial" w:cs="Arial"/>
          <w:sz w:val="24"/>
          <w:szCs w:val="24"/>
        </w:rPr>
      </w:pPr>
    </w:p>
    <w:sectPr w:rsidR="00AF1CB9" w:rsidRPr="004B477E" w:rsidSect="00E46F25">
      <w:headerReference w:type="default" r:id="rId17"/>
      <w:footerReference w:type="defaul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BFE46" w14:textId="77777777" w:rsidR="00504F59" w:rsidRDefault="00504F59" w:rsidP="00E46F25">
      <w:pPr>
        <w:spacing w:after="0" w:line="240" w:lineRule="auto"/>
      </w:pPr>
      <w:r>
        <w:separator/>
      </w:r>
    </w:p>
  </w:endnote>
  <w:endnote w:type="continuationSeparator" w:id="0">
    <w:p w14:paraId="4E0583A4" w14:textId="77777777" w:rsidR="00504F59" w:rsidRDefault="00504F59" w:rsidP="00E4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96D6" w14:textId="15EB06C3" w:rsidR="00E46F25" w:rsidRDefault="001B0891">
    <w:pPr>
      <w:pStyle w:val="Footer"/>
    </w:pPr>
    <w:r>
      <w:t>September 2021</w:t>
    </w:r>
  </w:p>
  <w:p w14:paraId="06D27BE3" w14:textId="77777777" w:rsidR="00E46F25" w:rsidRDefault="00E46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05C2" w14:textId="77777777" w:rsidR="00504F59" w:rsidRDefault="00504F59" w:rsidP="00E46F25">
      <w:pPr>
        <w:spacing w:after="0" w:line="240" w:lineRule="auto"/>
      </w:pPr>
      <w:r>
        <w:separator/>
      </w:r>
    </w:p>
  </w:footnote>
  <w:footnote w:type="continuationSeparator" w:id="0">
    <w:p w14:paraId="65248324" w14:textId="77777777" w:rsidR="00504F59" w:rsidRDefault="00504F59" w:rsidP="00E4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2013" w14:textId="7BF539EB" w:rsidR="00026A4D" w:rsidRDefault="0002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3C50"/>
    <w:multiLevelType w:val="hybridMultilevel"/>
    <w:tmpl w:val="074687F4"/>
    <w:lvl w:ilvl="0" w:tplc="08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 w15:restartNumberingAfterBreak="0">
    <w:nsid w:val="12AA3F15"/>
    <w:multiLevelType w:val="hybridMultilevel"/>
    <w:tmpl w:val="EC4E26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C45ADC"/>
    <w:multiLevelType w:val="hybridMultilevel"/>
    <w:tmpl w:val="3822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F43B2"/>
    <w:multiLevelType w:val="hybridMultilevel"/>
    <w:tmpl w:val="98684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93"/>
    <w:rsid w:val="00026A4D"/>
    <w:rsid w:val="00061273"/>
    <w:rsid w:val="000F227A"/>
    <w:rsid w:val="000F2EB1"/>
    <w:rsid w:val="00127B2E"/>
    <w:rsid w:val="00143BA8"/>
    <w:rsid w:val="00176F18"/>
    <w:rsid w:val="001778FE"/>
    <w:rsid w:val="00185BB8"/>
    <w:rsid w:val="001B0891"/>
    <w:rsid w:val="002A4814"/>
    <w:rsid w:val="00320B32"/>
    <w:rsid w:val="003D2AAC"/>
    <w:rsid w:val="003D3563"/>
    <w:rsid w:val="004009A1"/>
    <w:rsid w:val="00414158"/>
    <w:rsid w:val="004650D2"/>
    <w:rsid w:val="004B477E"/>
    <w:rsid w:val="004D67CB"/>
    <w:rsid w:val="00504F59"/>
    <w:rsid w:val="00505611"/>
    <w:rsid w:val="00530C93"/>
    <w:rsid w:val="00584976"/>
    <w:rsid w:val="005F0674"/>
    <w:rsid w:val="00654A10"/>
    <w:rsid w:val="007B3FA4"/>
    <w:rsid w:val="008E3031"/>
    <w:rsid w:val="00940ED5"/>
    <w:rsid w:val="009708A9"/>
    <w:rsid w:val="009B1FE2"/>
    <w:rsid w:val="009C32BD"/>
    <w:rsid w:val="009C675E"/>
    <w:rsid w:val="00A56508"/>
    <w:rsid w:val="00AF1CB9"/>
    <w:rsid w:val="00B235B4"/>
    <w:rsid w:val="00B752D3"/>
    <w:rsid w:val="00C61152"/>
    <w:rsid w:val="00CB0DE7"/>
    <w:rsid w:val="00CF397F"/>
    <w:rsid w:val="00D94F74"/>
    <w:rsid w:val="00DA2B3C"/>
    <w:rsid w:val="00DB6095"/>
    <w:rsid w:val="00E46F25"/>
    <w:rsid w:val="00E868D7"/>
    <w:rsid w:val="00EA55B5"/>
    <w:rsid w:val="00EC3C6B"/>
    <w:rsid w:val="00E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816D1"/>
  <w15:chartTrackingRefBased/>
  <w15:docId w15:val="{444C7EA2-A42F-42E7-A023-E666C5A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25"/>
  </w:style>
  <w:style w:type="paragraph" w:styleId="Footer">
    <w:name w:val="footer"/>
    <w:basedOn w:val="Normal"/>
    <w:link w:val="FooterChar"/>
    <w:uiPriority w:val="99"/>
    <w:unhideWhenUsed/>
    <w:rsid w:val="00E46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25"/>
  </w:style>
  <w:style w:type="paragraph" w:styleId="ListParagraph">
    <w:name w:val="List Paragraph"/>
    <w:basedOn w:val="Normal"/>
    <w:uiPriority w:val="34"/>
    <w:qFormat/>
    <w:rsid w:val="00E46F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54A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54A10"/>
    <w:rPr>
      <w:rFonts w:ascii="Arial" w:eastAsia="Arial" w:hAnsi="Arial" w:cs="Arial"/>
      <w:sz w:val="24"/>
      <w:szCs w:val="24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EA55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5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8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K:\SENCO%20Guide\SENCO%20Guide%202021\School%20Effectiveness%20July%2021\Section%203%20linked%20documents%20amendments%20highlighted\SEND%20Mainstream%20Guidance%20July%202021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paringforadulthood.org.uk/SiteAssets/Downloads/yeded5wb636481748062535810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earch3.openobjects.com/mediamanager/newcastle/repository/files/secondary_transition_document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8506\Downloads\Getting%20it%20Right%20Together%20Framework%2009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3.openobjects.com/mediamanager/newcastle/repository/files/primary_transition_nov_2020.pdf" TargetMode="External"/><Relationship Id="rId10" Type="http://schemas.openxmlformats.org/officeDocument/2006/relationships/image" Target="cid:image001.jpg@01D2F5A2.20C3DDE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earch3.openobjects.com/mediamanager/newcastle/repository/files/universally_available_guidance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C690-7B28-431C-A7E5-A07D88B7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Kingsland, Sheila</dc:creator>
  <cp:keywords/>
  <dc:description/>
  <cp:lastModifiedBy>Brown, Lucy</cp:lastModifiedBy>
  <cp:revision>2</cp:revision>
  <dcterms:created xsi:type="dcterms:W3CDTF">2021-11-16T14:50:00Z</dcterms:created>
  <dcterms:modified xsi:type="dcterms:W3CDTF">2021-11-16T14:50:00Z</dcterms:modified>
</cp:coreProperties>
</file>