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856"/>
        <w:gridCol w:w="4673"/>
      </w:tblGrid>
      <w:tr w:rsidR="00F70BF2" w:rsidRPr="00F70BF2" w14:paraId="29C79B33" w14:textId="77777777" w:rsidTr="00F50DB2">
        <w:trPr>
          <w:trHeight w:hRule="exact" w:val="1021"/>
        </w:trPr>
        <w:tc>
          <w:tcPr>
            <w:tcW w:w="4678" w:type="dxa"/>
          </w:tcPr>
          <w:p w14:paraId="31D88A1A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F2">
              <w:rPr>
                <w:noProof/>
              </w:rPr>
              <w:drawing>
                <wp:inline distT="0" distB="0" distL="0" distR="0" wp14:anchorId="1F1F0F3D" wp14:editId="05984F10">
                  <wp:extent cx="2343150" cy="581025"/>
                  <wp:effectExtent l="0" t="0" r="0" b="9525"/>
                  <wp:docPr id="3" name="Picture 5" descr="Description: Ncc logo 6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Ncc logo 6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6DFC9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401C7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14:paraId="5D350E60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565F8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5C6EA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14:paraId="1D3CE776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F2">
              <w:rPr>
                <w:rFonts w:ascii="Arial" w:hAnsi="Arial" w:cs="Arial"/>
                <w:b/>
                <w:sz w:val="24"/>
                <w:szCs w:val="24"/>
              </w:rPr>
              <w:t>The person dealing with this matter is:</w:t>
            </w:r>
          </w:p>
          <w:p w14:paraId="44885549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CACEF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Deanne Taylor</w:t>
            </w:r>
          </w:p>
          <w:p w14:paraId="5BC31760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Head of SEND</w:t>
            </w:r>
          </w:p>
          <w:p w14:paraId="6664B3CF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Newcastle City Council</w:t>
            </w:r>
          </w:p>
          <w:p w14:paraId="405308A8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3</w:t>
            </w:r>
            <w:r w:rsidRPr="00F70BF2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F70BF2">
              <w:rPr>
                <w:rFonts w:ascii="Arial" w:hAnsi="Arial" w:cs="Arial"/>
                <w:sz w:val="24"/>
                <w:szCs w:val="24"/>
              </w:rPr>
              <w:t xml:space="preserve"> Floor</w:t>
            </w:r>
          </w:p>
          <w:p w14:paraId="4C7FE38E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Civic Centre</w:t>
            </w:r>
          </w:p>
          <w:p w14:paraId="6149A636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Barras Bridge</w:t>
            </w:r>
          </w:p>
          <w:p w14:paraId="617A4779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>Newcastle upon Tyne, NE99 1NP</w:t>
            </w:r>
          </w:p>
          <w:p w14:paraId="69786694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  <w:r w:rsidRPr="00F70BF2">
              <w:rPr>
                <w:rFonts w:ascii="Arial" w:hAnsi="Arial" w:cs="Arial"/>
                <w:b/>
                <w:sz w:val="24"/>
                <w:szCs w:val="24"/>
              </w:rPr>
              <w:t>Email:</w:t>
            </w:r>
            <w:r w:rsidRPr="00F70BF2">
              <w:rPr>
                <w:rFonts w:ascii="Arial" w:hAnsi="Arial" w:cs="Arial"/>
                <w:sz w:val="24"/>
                <w:szCs w:val="24"/>
              </w:rPr>
              <w:t xml:space="preserve"> deanne.taylor@newcastle.gov.uk </w:t>
            </w:r>
          </w:p>
          <w:p w14:paraId="4B0434B3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F2">
              <w:rPr>
                <w:rFonts w:ascii="Arial" w:hAnsi="Arial" w:cs="Arial"/>
                <w:b/>
                <w:sz w:val="24"/>
                <w:szCs w:val="24"/>
              </w:rPr>
              <w:t>www.newcastle.gov.uk</w:t>
            </w:r>
          </w:p>
          <w:p w14:paraId="7B66974F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0BF2" w:rsidRPr="00F70BF2" w14:paraId="2F1791F6" w14:textId="77777777" w:rsidTr="00F50DB2">
        <w:trPr>
          <w:trHeight w:hRule="exact" w:val="737"/>
        </w:trPr>
        <w:tc>
          <w:tcPr>
            <w:tcW w:w="4678" w:type="dxa"/>
          </w:tcPr>
          <w:p w14:paraId="6999C3C6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87160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23FAD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1947C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14:paraId="12DA1B36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52A901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022A62A9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0BF2" w:rsidRPr="00F70BF2" w14:paraId="5DD0677D" w14:textId="77777777" w:rsidTr="00F50DB2">
        <w:trPr>
          <w:trHeight w:hRule="exact" w:val="1931"/>
        </w:trPr>
        <w:tc>
          <w:tcPr>
            <w:tcW w:w="4678" w:type="dxa"/>
          </w:tcPr>
          <w:p w14:paraId="3647566C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B45B9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1EFC3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2D592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8015B" w14:textId="77777777" w:rsidR="00F70BF2" w:rsidRPr="00F70BF2" w:rsidRDefault="00F70BF2" w:rsidP="00F50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D0C7EB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F2">
              <w:rPr>
                <w:rFonts w:ascii="Arial" w:hAnsi="Arial" w:cs="Arial"/>
                <w:sz w:val="24"/>
                <w:szCs w:val="24"/>
              </w:rPr>
              <w:tab/>
            </w:r>
            <w:r w:rsidRPr="00F70BF2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56" w:type="dxa"/>
          </w:tcPr>
          <w:p w14:paraId="04923B2C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8F4AE52" w14:textId="77777777" w:rsidR="00F70BF2" w:rsidRPr="00F70BF2" w:rsidRDefault="00F70BF2" w:rsidP="00F50D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A574E0" w14:textId="765E7D3B" w:rsidR="009A77D2" w:rsidRDefault="00E4539E">
      <w:r>
        <w:t>6</w:t>
      </w:r>
      <w:r w:rsidR="00283747" w:rsidRPr="00283747">
        <w:rPr>
          <w:vertAlign w:val="superscript"/>
        </w:rPr>
        <w:t>th</w:t>
      </w:r>
      <w:r w:rsidR="00283747">
        <w:t xml:space="preserve"> December 2024</w:t>
      </w:r>
    </w:p>
    <w:p w14:paraId="3BDEC226" w14:textId="77777777" w:rsidR="00394FD8" w:rsidRDefault="00394FD8" w:rsidP="00AD7CE0">
      <w:pPr>
        <w:pStyle w:val="Footer"/>
      </w:pPr>
    </w:p>
    <w:p w14:paraId="6753B4B9" w14:textId="77777777" w:rsidR="00394FD8" w:rsidRDefault="00394FD8" w:rsidP="00AD7CE0">
      <w:pPr>
        <w:pStyle w:val="Footer"/>
      </w:pPr>
    </w:p>
    <w:p w14:paraId="403AC8D5" w14:textId="77777777" w:rsidR="00394FD8" w:rsidRDefault="00394FD8" w:rsidP="00AD7CE0">
      <w:pPr>
        <w:pStyle w:val="Footer"/>
      </w:pPr>
      <w:r>
        <w:t>Dear Sir / Madam,</w:t>
      </w:r>
    </w:p>
    <w:p w14:paraId="296BE5C7" w14:textId="77777777" w:rsidR="00394FD8" w:rsidRDefault="00394FD8" w:rsidP="00AD7CE0">
      <w:pPr>
        <w:pStyle w:val="Footer"/>
      </w:pPr>
    </w:p>
    <w:p w14:paraId="507E240C" w14:textId="2B5AD916" w:rsidR="00AD7CE0" w:rsidRPr="00460A44" w:rsidRDefault="00AD7CE0" w:rsidP="00AD7CE0">
      <w:pPr>
        <w:pStyle w:val="Footer"/>
        <w:rPr>
          <w:b/>
          <w:bCs/>
        </w:rPr>
      </w:pPr>
      <w:r w:rsidRPr="00460A44">
        <w:rPr>
          <w:b/>
          <w:bCs/>
        </w:rPr>
        <w:t>If you need this information in another format or language please contact the sender.</w:t>
      </w:r>
    </w:p>
    <w:p w14:paraId="460ADE16" w14:textId="77777777" w:rsidR="00494583" w:rsidRDefault="00494583" w:rsidP="009A77D2">
      <w:pPr>
        <w:pStyle w:val="Default"/>
        <w:rPr>
          <w:sz w:val="23"/>
          <w:szCs w:val="23"/>
        </w:rPr>
      </w:pPr>
    </w:p>
    <w:p w14:paraId="697701F5" w14:textId="274AF980" w:rsidR="001D5EDF" w:rsidRDefault="00F70BF2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</w:t>
      </w:r>
      <w:r w:rsidR="00656467">
        <w:rPr>
          <w:sz w:val="23"/>
          <w:szCs w:val="23"/>
        </w:rPr>
        <w:t xml:space="preserve"> am writing to you </w:t>
      </w:r>
      <w:r w:rsidR="00B50F4C">
        <w:rPr>
          <w:sz w:val="23"/>
          <w:szCs w:val="23"/>
        </w:rPr>
        <w:t xml:space="preserve">regarding </w:t>
      </w:r>
      <w:r w:rsidR="007B6B19">
        <w:rPr>
          <w:sz w:val="23"/>
          <w:szCs w:val="23"/>
        </w:rPr>
        <w:t>the Early</w:t>
      </w:r>
      <w:r w:rsidR="00656467">
        <w:rPr>
          <w:sz w:val="23"/>
          <w:szCs w:val="23"/>
        </w:rPr>
        <w:t xml:space="preserve"> Years </w:t>
      </w:r>
      <w:r w:rsidR="00102C78">
        <w:rPr>
          <w:sz w:val="23"/>
          <w:szCs w:val="23"/>
        </w:rPr>
        <w:t>(EY)</w:t>
      </w:r>
      <w:r w:rsidR="00656467">
        <w:rPr>
          <w:sz w:val="23"/>
          <w:szCs w:val="23"/>
        </w:rPr>
        <w:t xml:space="preserve"> </w:t>
      </w:r>
      <w:r w:rsidR="00EB74CD">
        <w:rPr>
          <w:sz w:val="23"/>
          <w:szCs w:val="23"/>
        </w:rPr>
        <w:t>A</w:t>
      </w:r>
      <w:r w:rsidR="00656467">
        <w:rPr>
          <w:sz w:val="23"/>
          <w:szCs w:val="23"/>
        </w:rPr>
        <w:t xml:space="preserve">ssessment </w:t>
      </w:r>
      <w:r w:rsidR="00EB74CD">
        <w:rPr>
          <w:sz w:val="23"/>
          <w:szCs w:val="23"/>
        </w:rPr>
        <w:t>A</w:t>
      </w:r>
      <w:r w:rsidR="00656467">
        <w:rPr>
          <w:sz w:val="23"/>
          <w:szCs w:val="23"/>
        </w:rPr>
        <w:t xml:space="preserve">dditional </w:t>
      </w:r>
      <w:r w:rsidR="00EB74CD">
        <w:rPr>
          <w:sz w:val="23"/>
          <w:szCs w:val="23"/>
        </w:rPr>
        <w:t>R</w:t>
      </w:r>
      <w:r w:rsidR="00656467">
        <w:rPr>
          <w:sz w:val="23"/>
          <w:szCs w:val="23"/>
        </w:rPr>
        <w:t xml:space="preserve">esourced </w:t>
      </w:r>
      <w:r w:rsidR="00EB74CD">
        <w:rPr>
          <w:sz w:val="23"/>
          <w:szCs w:val="23"/>
        </w:rPr>
        <w:t>P</w:t>
      </w:r>
      <w:r w:rsidR="00656467">
        <w:rPr>
          <w:sz w:val="23"/>
          <w:szCs w:val="23"/>
        </w:rPr>
        <w:t xml:space="preserve">rovision </w:t>
      </w:r>
      <w:r w:rsidR="001D5EDF">
        <w:rPr>
          <w:sz w:val="23"/>
          <w:szCs w:val="23"/>
        </w:rPr>
        <w:t xml:space="preserve">(ARP) </w:t>
      </w:r>
      <w:r w:rsidR="00656467">
        <w:rPr>
          <w:sz w:val="23"/>
          <w:szCs w:val="23"/>
        </w:rPr>
        <w:t>in Bridgewater Primary School</w:t>
      </w:r>
      <w:r w:rsidR="001D5EDF">
        <w:rPr>
          <w:sz w:val="23"/>
          <w:szCs w:val="23"/>
        </w:rPr>
        <w:t>.</w:t>
      </w:r>
    </w:p>
    <w:p w14:paraId="32890CF6" w14:textId="77777777" w:rsidR="004F7D98" w:rsidRDefault="004F7D98" w:rsidP="001D5EDF">
      <w:pPr>
        <w:pStyle w:val="Default"/>
        <w:rPr>
          <w:sz w:val="23"/>
          <w:szCs w:val="23"/>
        </w:rPr>
      </w:pPr>
    </w:p>
    <w:p w14:paraId="459C7EB6" w14:textId="3CEE9605" w:rsidR="00FF17C4" w:rsidRDefault="009750D2" w:rsidP="001D5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EB74CD">
        <w:rPr>
          <w:sz w:val="23"/>
          <w:szCs w:val="23"/>
        </w:rPr>
        <w:t>Early Years A</w:t>
      </w:r>
      <w:r>
        <w:rPr>
          <w:sz w:val="23"/>
          <w:szCs w:val="23"/>
        </w:rPr>
        <w:t>ssessment ARP</w:t>
      </w:r>
      <w:r w:rsidR="00EB74CD">
        <w:rPr>
          <w:sz w:val="23"/>
          <w:szCs w:val="23"/>
        </w:rPr>
        <w:t>s</w:t>
      </w:r>
      <w:r>
        <w:rPr>
          <w:sz w:val="23"/>
          <w:szCs w:val="23"/>
        </w:rPr>
        <w:t xml:space="preserve"> were created </w:t>
      </w:r>
      <w:r w:rsidR="00DC5F08">
        <w:rPr>
          <w:sz w:val="23"/>
          <w:szCs w:val="23"/>
        </w:rPr>
        <w:t>so</w:t>
      </w:r>
      <w:r w:rsidR="00FF17C4">
        <w:rPr>
          <w:sz w:val="23"/>
          <w:szCs w:val="23"/>
        </w:rPr>
        <w:t>m</w:t>
      </w:r>
      <w:r w:rsidR="00DC5F08">
        <w:rPr>
          <w:sz w:val="23"/>
          <w:szCs w:val="23"/>
        </w:rPr>
        <w:t xml:space="preserve">e years ago </w:t>
      </w:r>
      <w:r>
        <w:rPr>
          <w:sz w:val="23"/>
          <w:szCs w:val="23"/>
        </w:rPr>
        <w:t xml:space="preserve">to allow </w:t>
      </w:r>
      <w:r w:rsidR="004E22CC">
        <w:rPr>
          <w:sz w:val="23"/>
          <w:szCs w:val="23"/>
        </w:rPr>
        <w:t xml:space="preserve">for </w:t>
      </w:r>
      <w:r w:rsidR="00767A6F">
        <w:rPr>
          <w:sz w:val="23"/>
          <w:szCs w:val="23"/>
        </w:rPr>
        <w:t xml:space="preserve">a </w:t>
      </w:r>
      <w:r w:rsidR="00E847E3">
        <w:rPr>
          <w:sz w:val="23"/>
          <w:szCs w:val="23"/>
        </w:rPr>
        <w:t>statutory</w:t>
      </w:r>
      <w:r w:rsidR="004E22CC">
        <w:rPr>
          <w:sz w:val="23"/>
          <w:szCs w:val="23"/>
        </w:rPr>
        <w:t xml:space="preserve"> assessment of children </w:t>
      </w:r>
      <w:r w:rsidR="00DC5F08">
        <w:rPr>
          <w:sz w:val="23"/>
          <w:szCs w:val="23"/>
        </w:rPr>
        <w:t xml:space="preserve">with Special educational Needs and </w:t>
      </w:r>
      <w:r w:rsidR="00EB74CD">
        <w:rPr>
          <w:sz w:val="23"/>
          <w:szCs w:val="23"/>
        </w:rPr>
        <w:t>D</w:t>
      </w:r>
      <w:r w:rsidR="00102C78">
        <w:rPr>
          <w:sz w:val="23"/>
          <w:szCs w:val="23"/>
        </w:rPr>
        <w:t>isabilities</w:t>
      </w:r>
      <w:r w:rsidR="00DC5F08">
        <w:rPr>
          <w:sz w:val="23"/>
          <w:szCs w:val="23"/>
        </w:rPr>
        <w:t xml:space="preserve"> (SEND)</w:t>
      </w:r>
      <w:r w:rsidR="00FF17C4">
        <w:rPr>
          <w:sz w:val="23"/>
          <w:szCs w:val="23"/>
        </w:rPr>
        <w:t xml:space="preserve">, within a </w:t>
      </w:r>
      <w:r w:rsidR="00E337EB">
        <w:rPr>
          <w:sz w:val="23"/>
          <w:szCs w:val="23"/>
        </w:rPr>
        <w:t>maximum</w:t>
      </w:r>
      <w:r w:rsidR="00FF17C4">
        <w:rPr>
          <w:sz w:val="23"/>
          <w:szCs w:val="23"/>
        </w:rPr>
        <w:t xml:space="preserve"> timescale of 2 years. </w:t>
      </w:r>
    </w:p>
    <w:p w14:paraId="6FA9EE0C" w14:textId="77777777" w:rsidR="00EB74CD" w:rsidRDefault="00EB74CD" w:rsidP="001D5EDF">
      <w:pPr>
        <w:pStyle w:val="Default"/>
        <w:rPr>
          <w:sz w:val="23"/>
          <w:szCs w:val="23"/>
        </w:rPr>
      </w:pPr>
    </w:p>
    <w:p w14:paraId="14D2BC7C" w14:textId="2AC31FCE" w:rsidR="009750D2" w:rsidRDefault="00DC5F08" w:rsidP="001D5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world of SEND has changed </w:t>
      </w:r>
      <w:r w:rsidR="00007012">
        <w:rPr>
          <w:sz w:val="23"/>
          <w:szCs w:val="23"/>
        </w:rPr>
        <w:t>considerably</w:t>
      </w:r>
      <w:r>
        <w:rPr>
          <w:sz w:val="23"/>
          <w:szCs w:val="23"/>
        </w:rPr>
        <w:t xml:space="preserve"> since</w:t>
      </w:r>
      <w:r w:rsidR="00767A6F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  <w:r w:rsidR="008810BB">
        <w:rPr>
          <w:sz w:val="23"/>
          <w:szCs w:val="23"/>
        </w:rPr>
        <w:t xml:space="preserve">The </w:t>
      </w:r>
      <w:r w:rsidR="006D4EB9">
        <w:rPr>
          <w:sz w:val="23"/>
          <w:szCs w:val="23"/>
        </w:rPr>
        <w:t>short-term</w:t>
      </w:r>
      <w:r w:rsidR="008810BB">
        <w:rPr>
          <w:sz w:val="23"/>
          <w:szCs w:val="23"/>
        </w:rPr>
        <w:t xml:space="preserve"> nature of a placement in an EY </w:t>
      </w:r>
      <w:r w:rsidR="00767A6F">
        <w:rPr>
          <w:sz w:val="23"/>
          <w:szCs w:val="23"/>
        </w:rPr>
        <w:t xml:space="preserve">assessment </w:t>
      </w:r>
      <w:r w:rsidR="008810BB">
        <w:rPr>
          <w:sz w:val="23"/>
          <w:szCs w:val="23"/>
        </w:rPr>
        <w:t xml:space="preserve">ARP </w:t>
      </w:r>
      <w:r w:rsidR="00767A6F">
        <w:rPr>
          <w:sz w:val="23"/>
          <w:szCs w:val="23"/>
        </w:rPr>
        <w:t>is no longer suitable</w:t>
      </w:r>
      <w:r w:rsidR="00192F28">
        <w:rPr>
          <w:sz w:val="23"/>
          <w:szCs w:val="23"/>
        </w:rPr>
        <w:t xml:space="preserve">. </w:t>
      </w:r>
      <w:r w:rsidR="0082297D">
        <w:rPr>
          <w:sz w:val="23"/>
          <w:szCs w:val="23"/>
        </w:rPr>
        <w:t xml:space="preserve">There is </w:t>
      </w:r>
      <w:r w:rsidR="006D4EB9">
        <w:rPr>
          <w:sz w:val="23"/>
          <w:szCs w:val="23"/>
        </w:rPr>
        <w:t>a</w:t>
      </w:r>
      <w:r w:rsidR="0082297D">
        <w:rPr>
          <w:sz w:val="23"/>
          <w:szCs w:val="23"/>
        </w:rPr>
        <w:t xml:space="preserve"> lack of clear pathways </w:t>
      </w:r>
      <w:r w:rsidR="00192F28">
        <w:rPr>
          <w:sz w:val="23"/>
          <w:szCs w:val="23"/>
        </w:rPr>
        <w:t xml:space="preserve">for some of these children </w:t>
      </w:r>
      <w:r w:rsidR="000A44B0">
        <w:rPr>
          <w:sz w:val="23"/>
          <w:szCs w:val="23"/>
        </w:rPr>
        <w:t xml:space="preserve">to </w:t>
      </w:r>
      <w:r w:rsidR="003A17A4">
        <w:rPr>
          <w:sz w:val="23"/>
          <w:szCs w:val="23"/>
        </w:rPr>
        <w:t>suitable provision</w:t>
      </w:r>
      <w:r w:rsidR="006D4EB9">
        <w:rPr>
          <w:sz w:val="23"/>
          <w:szCs w:val="23"/>
        </w:rPr>
        <w:t>.</w:t>
      </w:r>
      <w:r w:rsidR="00E34BDD">
        <w:rPr>
          <w:sz w:val="23"/>
          <w:szCs w:val="23"/>
        </w:rPr>
        <w:t xml:space="preserve"> </w:t>
      </w:r>
    </w:p>
    <w:p w14:paraId="26D18A48" w14:textId="77777777" w:rsidR="0082297D" w:rsidRDefault="0082297D" w:rsidP="001D5EDF">
      <w:pPr>
        <w:pStyle w:val="Default"/>
        <w:rPr>
          <w:sz w:val="23"/>
          <w:szCs w:val="23"/>
        </w:rPr>
      </w:pPr>
    </w:p>
    <w:p w14:paraId="71CA7216" w14:textId="54A33250" w:rsidR="004573C3" w:rsidRDefault="003A17A4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E34C4B">
        <w:rPr>
          <w:sz w:val="23"/>
          <w:szCs w:val="23"/>
        </w:rPr>
        <w:t>n</w:t>
      </w:r>
      <w:r w:rsidR="00D746AF">
        <w:rPr>
          <w:sz w:val="23"/>
          <w:szCs w:val="23"/>
        </w:rPr>
        <w:t xml:space="preserve"> </w:t>
      </w:r>
      <w:r w:rsidR="008810BB">
        <w:rPr>
          <w:sz w:val="23"/>
          <w:szCs w:val="23"/>
        </w:rPr>
        <w:t>in-depth</w:t>
      </w:r>
      <w:r w:rsidR="00D746AF">
        <w:rPr>
          <w:sz w:val="23"/>
          <w:szCs w:val="23"/>
        </w:rPr>
        <w:t xml:space="preserve"> review of the Early </w:t>
      </w:r>
      <w:r w:rsidR="006D4EB9">
        <w:rPr>
          <w:sz w:val="23"/>
          <w:szCs w:val="23"/>
        </w:rPr>
        <w:t>Y</w:t>
      </w:r>
      <w:r w:rsidR="00D746AF">
        <w:rPr>
          <w:sz w:val="23"/>
          <w:szCs w:val="23"/>
        </w:rPr>
        <w:t xml:space="preserve">ears </w:t>
      </w:r>
      <w:r w:rsidR="00E34C4B">
        <w:rPr>
          <w:sz w:val="23"/>
          <w:szCs w:val="23"/>
        </w:rPr>
        <w:t>Assessment</w:t>
      </w:r>
      <w:r w:rsidR="00D746AF">
        <w:rPr>
          <w:sz w:val="23"/>
          <w:szCs w:val="23"/>
        </w:rPr>
        <w:t xml:space="preserve"> ARP </w:t>
      </w:r>
      <w:r w:rsidR="006D4EB9">
        <w:rPr>
          <w:sz w:val="23"/>
          <w:szCs w:val="23"/>
        </w:rPr>
        <w:t xml:space="preserve">at Bridgewater Primary School </w:t>
      </w:r>
      <w:r w:rsidR="00170045">
        <w:rPr>
          <w:sz w:val="23"/>
          <w:szCs w:val="23"/>
        </w:rPr>
        <w:t xml:space="preserve">has been conducted. We have worked with </w:t>
      </w:r>
      <w:r w:rsidR="00950171">
        <w:rPr>
          <w:sz w:val="23"/>
          <w:szCs w:val="23"/>
        </w:rPr>
        <w:t xml:space="preserve">the senior </w:t>
      </w:r>
      <w:r w:rsidR="007925E5">
        <w:rPr>
          <w:sz w:val="23"/>
          <w:szCs w:val="23"/>
        </w:rPr>
        <w:t>leadership</w:t>
      </w:r>
      <w:r w:rsidR="00E97209">
        <w:rPr>
          <w:sz w:val="23"/>
          <w:szCs w:val="23"/>
        </w:rPr>
        <w:t xml:space="preserve"> at Bridgewater </w:t>
      </w:r>
      <w:r w:rsidR="007925E5">
        <w:rPr>
          <w:sz w:val="23"/>
          <w:szCs w:val="23"/>
        </w:rPr>
        <w:t>Primary</w:t>
      </w:r>
      <w:r w:rsidR="00E97209">
        <w:rPr>
          <w:sz w:val="23"/>
          <w:szCs w:val="23"/>
        </w:rPr>
        <w:t xml:space="preserve"> </w:t>
      </w:r>
      <w:r w:rsidR="00394FD8">
        <w:rPr>
          <w:sz w:val="23"/>
          <w:szCs w:val="23"/>
        </w:rPr>
        <w:t>School,</w:t>
      </w:r>
      <w:r w:rsidR="00E97209">
        <w:rPr>
          <w:sz w:val="23"/>
          <w:szCs w:val="23"/>
        </w:rPr>
        <w:t xml:space="preserve"> and </w:t>
      </w:r>
      <w:r w:rsidR="00950171">
        <w:rPr>
          <w:sz w:val="23"/>
          <w:szCs w:val="23"/>
        </w:rPr>
        <w:t xml:space="preserve">it has been </w:t>
      </w:r>
      <w:r w:rsidR="00E97209">
        <w:rPr>
          <w:sz w:val="23"/>
          <w:szCs w:val="23"/>
        </w:rPr>
        <w:t>agreed that the EY Assessment ARP</w:t>
      </w:r>
      <w:r w:rsidR="00170045">
        <w:rPr>
          <w:sz w:val="23"/>
          <w:szCs w:val="23"/>
        </w:rPr>
        <w:t xml:space="preserve"> is no longer sustainable.</w:t>
      </w:r>
      <w:r w:rsidR="0098324B">
        <w:rPr>
          <w:sz w:val="23"/>
          <w:szCs w:val="23"/>
        </w:rPr>
        <w:t xml:space="preserve"> </w:t>
      </w:r>
    </w:p>
    <w:p w14:paraId="5550E104" w14:textId="77777777" w:rsidR="00E353CF" w:rsidRDefault="00E353CF" w:rsidP="009A77D2">
      <w:pPr>
        <w:pStyle w:val="Default"/>
        <w:rPr>
          <w:sz w:val="23"/>
          <w:szCs w:val="23"/>
        </w:rPr>
      </w:pPr>
    </w:p>
    <w:p w14:paraId="2C5520B5" w14:textId="7B1BA147" w:rsidR="009A77D2" w:rsidRDefault="00E353CF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therefore proposing to close the ARP at Bridgewater Primary School</w:t>
      </w:r>
      <w:r w:rsidR="00DF2CCB">
        <w:rPr>
          <w:sz w:val="23"/>
          <w:szCs w:val="23"/>
        </w:rPr>
        <w:t xml:space="preserve"> with effect from September 202</w:t>
      </w:r>
      <w:r w:rsidR="003A6F4A">
        <w:rPr>
          <w:sz w:val="23"/>
          <w:szCs w:val="23"/>
        </w:rPr>
        <w:t>5.</w:t>
      </w:r>
      <w:r w:rsidR="003E7876">
        <w:rPr>
          <w:sz w:val="23"/>
          <w:szCs w:val="23"/>
        </w:rPr>
        <w:t xml:space="preserve"> </w:t>
      </w:r>
      <w:r w:rsidR="006B0E84">
        <w:rPr>
          <w:sz w:val="23"/>
          <w:szCs w:val="23"/>
        </w:rPr>
        <w:t xml:space="preserve">Assessments will </w:t>
      </w:r>
      <w:r w:rsidR="00170045">
        <w:rPr>
          <w:sz w:val="23"/>
          <w:szCs w:val="23"/>
        </w:rPr>
        <w:t xml:space="preserve">continue to </w:t>
      </w:r>
      <w:r w:rsidR="006B0E84">
        <w:rPr>
          <w:sz w:val="23"/>
          <w:szCs w:val="23"/>
        </w:rPr>
        <w:t xml:space="preserve">be </w:t>
      </w:r>
      <w:r w:rsidR="003A71B5">
        <w:rPr>
          <w:sz w:val="23"/>
          <w:szCs w:val="23"/>
        </w:rPr>
        <w:t>available</w:t>
      </w:r>
      <w:r w:rsidR="006B0E84">
        <w:rPr>
          <w:sz w:val="23"/>
          <w:szCs w:val="23"/>
        </w:rPr>
        <w:t xml:space="preserve"> from a child’s Early Years setting </w:t>
      </w:r>
      <w:r w:rsidR="00121051">
        <w:rPr>
          <w:sz w:val="23"/>
          <w:szCs w:val="23"/>
        </w:rPr>
        <w:t>with support fr</w:t>
      </w:r>
      <w:r w:rsidR="003A71B5">
        <w:rPr>
          <w:sz w:val="23"/>
          <w:szCs w:val="23"/>
        </w:rPr>
        <w:t>o</w:t>
      </w:r>
      <w:r w:rsidR="00121051">
        <w:rPr>
          <w:sz w:val="23"/>
          <w:szCs w:val="23"/>
        </w:rPr>
        <w:t xml:space="preserve">m </w:t>
      </w:r>
      <w:r w:rsidR="001502FA">
        <w:rPr>
          <w:sz w:val="23"/>
          <w:szCs w:val="23"/>
        </w:rPr>
        <w:t xml:space="preserve">the SENDOS Early Years Team. </w:t>
      </w:r>
    </w:p>
    <w:p w14:paraId="1F8FEABB" w14:textId="77777777" w:rsidR="00170045" w:rsidRDefault="00170045" w:rsidP="009A77D2">
      <w:pPr>
        <w:pStyle w:val="Default"/>
        <w:rPr>
          <w:sz w:val="23"/>
          <w:szCs w:val="23"/>
        </w:rPr>
      </w:pPr>
    </w:p>
    <w:p w14:paraId="58D497A5" w14:textId="63C7CC6F" w:rsidR="009A77D2" w:rsidRDefault="009A77D2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You are invited to respond to the consultation via the form at the end of this letter. All responses must be received by Friday 1</w:t>
      </w:r>
      <w:r w:rsidR="00170045">
        <w:rPr>
          <w:sz w:val="23"/>
          <w:szCs w:val="23"/>
        </w:rPr>
        <w:t>7</w:t>
      </w:r>
      <w:r>
        <w:rPr>
          <w:sz w:val="15"/>
          <w:szCs w:val="15"/>
        </w:rPr>
        <w:t xml:space="preserve">th </w:t>
      </w:r>
      <w:r>
        <w:rPr>
          <w:sz w:val="23"/>
          <w:szCs w:val="23"/>
        </w:rPr>
        <w:t>J</w:t>
      </w:r>
      <w:r w:rsidR="00170045">
        <w:rPr>
          <w:sz w:val="23"/>
          <w:szCs w:val="23"/>
        </w:rPr>
        <w:t xml:space="preserve">anuary </w:t>
      </w:r>
      <w:r>
        <w:rPr>
          <w:sz w:val="23"/>
          <w:szCs w:val="23"/>
        </w:rPr>
        <w:t>202</w:t>
      </w:r>
      <w:r w:rsidR="00170045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14:paraId="0EC1E16A" w14:textId="77777777" w:rsidR="00950171" w:rsidRDefault="00950171" w:rsidP="009A77D2">
      <w:pPr>
        <w:pStyle w:val="Default"/>
        <w:rPr>
          <w:sz w:val="23"/>
          <w:szCs w:val="23"/>
        </w:rPr>
      </w:pPr>
    </w:p>
    <w:p w14:paraId="65EDB4B6" w14:textId="77777777" w:rsidR="005E6D0A" w:rsidRDefault="009A77D2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you would like to discuss the proposal in more detail at a mutually agreed time, please contact </w:t>
      </w:r>
      <w:hyperlink r:id="rId6" w:history="1">
        <w:r w:rsidR="00736327" w:rsidRPr="00FA6586">
          <w:rPr>
            <w:rStyle w:val="Hyperlink"/>
            <w:sz w:val="23"/>
            <w:szCs w:val="23"/>
          </w:rPr>
          <w:t>sendplaceplanning@newcastle.gov.uk</w:t>
        </w:r>
      </w:hyperlink>
      <w:r w:rsidR="00950171">
        <w:rPr>
          <w:sz w:val="23"/>
          <w:szCs w:val="23"/>
        </w:rPr>
        <w:t xml:space="preserve"> </w:t>
      </w:r>
    </w:p>
    <w:p w14:paraId="6ECA7140" w14:textId="22D9D273" w:rsidR="009A77D2" w:rsidRDefault="00950171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 </w:t>
      </w:r>
      <w:r w:rsidR="005E6D0A">
        <w:rPr>
          <w:rStyle w:val="Hyperlink"/>
        </w:rPr>
        <w:t>sa</w:t>
      </w:r>
      <w:r w:rsidR="00B10B0F" w:rsidRPr="00736327">
        <w:rPr>
          <w:rStyle w:val="Hyperlink"/>
        </w:rPr>
        <w:t>m.robson</w:t>
      </w:r>
      <w:r w:rsidR="00B4620A" w:rsidRPr="00736327">
        <w:rPr>
          <w:rStyle w:val="Hyperlink"/>
        </w:rPr>
        <w:t>@bridgewater</w:t>
      </w:r>
      <w:r w:rsidR="001A390F" w:rsidRPr="00736327">
        <w:rPr>
          <w:rStyle w:val="Hyperlink"/>
        </w:rPr>
        <w:t>.newcastle.sch.u</w:t>
      </w:r>
      <w:r w:rsidR="00AB164F" w:rsidRPr="00736327">
        <w:rPr>
          <w:rStyle w:val="Hyperlink"/>
        </w:rPr>
        <w:t>k</w:t>
      </w:r>
      <w:r w:rsidR="009A77D2">
        <w:rPr>
          <w:sz w:val="23"/>
          <w:szCs w:val="23"/>
        </w:rPr>
        <w:t xml:space="preserve"> otherwise I look forward to receiving your response. </w:t>
      </w:r>
    </w:p>
    <w:p w14:paraId="67CB19F4" w14:textId="77777777" w:rsidR="00170045" w:rsidRDefault="00170045" w:rsidP="009A77D2">
      <w:pPr>
        <w:pStyle w:val="Default"/>
        <w:rPr>
          <w:sz w:val="23"/>
          <w:szCs w:val="23"/>
        </w:rPr>
      </w:pPr>
    </w:p>
    <w:p w14:paraId="67679C0F" w14:textId="64131C78" w:rsidR="009A77D2" w:rsidRDefault="009A77D2" w:rsidP="009A77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Yours </w:t>
      </w:r>
      <w:r w:rsidR="00665B22">
        <w:rPr>
          <w:sz w:val="23"/>
          <w:szCs w:val="23"/>
        </w:rPr>
        <w:t>sincerely</w:t>
      </w:r>
      <w:r>
        <w:rPr>
          <w:sz w:val="23"/>
          <w:szCs w:val="23"/>
        </w:rPr>
        <w:t xml:space="preserve">, </w:t>
      </w:r>
    </w:p>
    <w:p w14:paraId="129C15C9" w14:textId="50D28DBD" w:rsidR="00665B22" w:rsidRDefault="00665B22" w:rsidP="00665B22">
      <w:r>
        <w:lastRenderedPageBreak/>
        <w:tab/>
      </w:r>
      <w:r>
        <w:rPr>
          <w:noProof/>
        </w:rPr>
        <w:drawing>
          <wp:inline distT="0" distB="0" distL="0" distR="0" wp14:anchorId="74C1B5E8" wp14:editId="466C8602">
            <wp:extent cx="15906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C79B8" w14:textId="77777777" w:rsidR="00665B22" w:rsidRDefault="00665B22" w:rsidP="00665B22">
      <w:pPr>
        <w:rPr>
          <w:bCs/>
        </w:rPr>
      </w:pPr>
    </w:p>
    <w:p w14:paraId="58D63613" w14:textId="77777777" w:rsidR="00665B22" w:rsidRDefault="00665B22" w:rsidP="00665B22">
      <w:pPr>
        <w:rPr>
          <w:bCs/>
        </w:rPr>
      </w:pPr>
      <w:r>
        <w:rPr>
          <w:bCs/>
        </w:rPr>
        <w:t>Deanne Taylor</w:t>
      </w:r>
    </w:p>
    <w:p w14:paraId="2CE55384" w14:textId="77777777" w:rsidR="00665B22" w:rsidRPr="00746FE7" w:rsidRDefault="00665B22" w:rsidP="00665B22">
      <w:pPr>
        <w:rPr>
          <w:b/>
          <w:bCs/>
        </w:rPr>
      </w:pPr>
      <w:r>
        <w:rPr>
          <w:b/>
          <w:bCs/>
        </w:rPr>
        <w:t>Head of Special Educational Needs and Disabilities</w:t>
      </w:r>
    </w:p>
    <w:p w14:paraId="14B63722" w14:textId="77777777" w:rsidR="00C92560" w:rsidRDefault="00C92560" w:rsidP="009A77D2">
      <w:pPr>
        <w:rPr>
          <w:sz w:val="23"/>
          <w:szCs w:val="23"/>
        </w:rPr>
      </w:pPr>
    </w:p>
    <w:p w14:paraId="67940322" w14:textId="77777777" w:rsidR="00C92560" w:rsidRDefault="00C92560" w:rsidP="009A77D2">
      <w:pPr>
        <w:rPr>
          <w:sz w:val="23"/>
          <w:szCs w:val="23"/>
        </w:rPr>
      </w:pPr>
    </w:p>
    <w:p w14:paraId="74F7802C" w14:textId="77777777" w:rsidR="00C92560" w:rsidRDefault="00C92560" w:rsidP="009A77D2">
      <w:pPr>
        <w:rPr>
          <w:sz w:val="23"/>
          <w:szCs w:val="23"/>
        </w:rPr>
      </w:pPr>
    </w:p>
    <w:p w14:paraId="66E3DA38" w14:textId="77777777" w:rsidR="00C92560" w:rsidRDefault="00C92560" w:rsidP="009A77D2">
      <w:pPr>
        <w:rPr>
          <w:sz w:val="23"/>
          <w:szCs w:val="23"/>
        </w:rPr>
      </w:pPr>
    </w:p>
    <w:p w14:paraId="454F6DC4" w14:textId="77777777" w:rsidR="00C92560" w:rsidRDefault="00C92560" w:rsidP="009A77D2">
      <w:pPr>
        <w:rPr>
          <w:sz w:val="23"/>
          <w:szCs w:val="23"/>
        </w:rPr>
      </w:pPr>
    </w:p>
    <w:p w14:paraId="1DD0B745" w14:textId="77777777" w:rsidR="00C92560" w:rsidRDefault="00C92560" w:rsidP="009A77D2">
      <w:pPr>
        <w:rPr>
          <w:sz w:val="23"/>
          <w:szCs w:val="23"/>
        </w:rPr>
      </w:pPr>
    </w:p>
    <w:p w14:paraId="668C9BF3" w14:textId="77777777" w:rsidR="00C92560" w:rsidRDefault="00C92560" w:rsidP="009A77D2">
      <w:pPr>
        <w:rPr>
          <w:sz w:val="23"/>
          <w:szCs w:val="23"/>
        </w:rPr>
      </w:pPr>
    </w:p>
    <w:p w14:paraId="496FB7AF" w14:textId="77777777" w:rsidR="00C92560" w:rsidRDefault="00C92560" w:rsidP="009A77D2">
      <w:pPr>
        <w:rPr>
          <w:sz w:val="23"/>
          <w:szCs w:val="23"/>
        </w:rPr>
      </w:pPr>
    </w:p>
    <w:p w14:paraId="707F4F5A" w14:textId="5F141479" w:rsidR="00C92560" w:rsidRDefault="00C9256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3419B8C1" w14:textId="77777777" w:rsidR="000218ED" w:rsidRDefault="000218ED" w:rsidP="000218ED">
      <w:pPr>
        <w:spacing w:before="81"/>
        <w:ind w:left="2"/>
        <w:jc w:val="center"/>
        <w:rPr>
          <w:b/>
        </w:rPr>
      </w:pPr>
      <w:r>
        <w:rPr>
          <w:b/>
        </w:rPr>
        <w:lastRenderedPageBreak/>
        <w:t>Consultation</w:t>
      </w:r>
      <w:r>
        <w:rPr>
          <w:b/>
          <w:spacing w:val="-9"/>
        </w:rPr>
        <w:t xml:space="preserve"> </w:t>
      </w:r>
      <w:r>
        <w:rPr>
          <w:b/>
        </w:rPr>
        <w:t>Response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Form</w:t>
      </w:r>
    </w:p>
    <w:p w14:paraId="59D19AA7" w14:textId="77777777" w:rsidR="000218ED" w:rsidRDefault="000218ED" w:rsidP="000218ED">
      <w:pPr>
        <w:pStyle w:val="BodyText"/>
        <w:spacing w:before="1"/>
        <w:rPr>
          <w:b/>
          <w:sz w:val="22"/>
        </w:rPr>
      </w:pPr>
    </w:p>
    <w:p w14:paraId="5926F100" w14:textId="1EC8E7D9" w:rsidR="000218ED" w:rsidRDefault="000218ED" w:rsidP="000218ED">
      <w:pPr>
        <w:ind w:left="100"/>
        <w:rPr>
          <w:b/>
        </w:rPr>
      </w:pPr>
      <w:r>
        <w:rPr>
          <w:b/>
        </w:rPr>
        <w:t>Proposal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remove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 w:rsidR="00810FC2">
        <w:rPr>
          <w:b/>
          <w:spacing w:val="-2"/>
        </w:rPr>
        <w:t xml:space="preserve">Early Years (EY) Assessment </w:t>
      </w:r>
      <w:r>
        <w:rPr>
          <w:b/>
        </w:rPr>
        <w:t>Additionally</w:t>
      </w:r>
      <w:r>
        <w:rPr>
          <w:b/>
          <w:spacing w:val="-6"/>
        </w:rPr>
        <w:t xml:space="preserve"> </w:t>
      </w:r>
      <w:r>
        <w:rPr>
          <w:b/>
        </w:rPr>
        <w:t>Resourced</w:t>
      </w:r>
      <w:r>
        <w:rPr>
          <w:b/>
          <w:spacing w:val="-2"/>
        </w:rPr>
        <w:t xml:space="preserve"> </w:t>
      </w:r>
      <w:r>
        <w:rPr>
          <w:b/>
        </w:rPr>
        <w:t>provision</w:t>
      </w:r>
      <w:r>
        <w:rPr>
          <w:b/>
          <w:spacing w:val="-4"/>
        </w:rPr>
        <w:t xml:space="preserve"> </w:t>
      </w:r>
      <w:r>
        <w:rPr>
          <w:b/>
        </w:rPr>
        <w:t xml:space="preserve">(ARP) </w:t>
      </w:r>
      <w:r w:rsidR="00AF7D1F">
        <w:rPr>
          <w:b/>
        </w:rPr>
        <w:t xml:space="preserve">at Bridgewater </w:t>
      </w:r>
      <w:r>
        <w:rPr>
          <w:b/>
        </w:rPr>
        <w:t>Primary School from September 202</w:t>
      </w:r>
      <w:r w:rsidR="00AF7D1F">
        <w:rPr>
          <w:b/>
        </w:rPr>
        <w:t>5</w:t>
      </w:r>
    </w:p>
    <w:p w14:paraId="45F88243" w14:textId="4ED7F502" w:rsidR="000218ED" w:rsidRDefault="000218ED" w:rsidP="000218ED">
      <w:pPr>
        <w:spacing w:before="253"/>
        <w:ind w:left="100"/>
      </w:pPr>
      <w:r>
        <w:t>Your</w:t>
      </w:r>
      <w:r>
        <w:rPr>
          <w:spacing w:val="-3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Friday</w:t>
      </w:r>
      <w:r>
        <w:rPr>
          <w:spacing w:val="-5"/>
        </w:rPr>
        <w:t xml:space="preserve"> </w:t>
      </w:r>
      <w:r>
        <w:t>1</w:t>
      </w:r>
      <w:r w:rsidR="00AF7D1F">
        <w:t>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J</w:t>
      </w:r>
      <w:r w:rsidR="00AF7D1F">
        <w:t>anuary</w:t>
      </w:r>
      <w:r>
        <w:rPr>
          <w:spacing w:val="-4"/>
        </w:rPr>
        <w:t xml:space="preserve"> 202</w:t>
      </w:r>
      <w:r w:rsidR="00AF7D1F">
        <w:rPr>
          <w:spacing w:val="-4"/>
        </w:rPr>
        <w:t>5</w:t>
      </w:r>
    </w:p>
    <w:p w14:paraId="69AA2871" w14:textId="77777777" w:rsidR="000218ED" w:rsidRDefault="000218ED" w:rsidP="000218ED">
      <w:pPr>
        <w:pStyle w:val="BodyText"/>
        <w:spacing w:before="23"/>
        <w:rPr>
          <w:sz w:val="20"/>
        </w:rPr>
      </w:pPr>
    </w:p>
    <w:tbl>
      <w:tblPr>
        <w:tblW w:w="990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4633"/>
      </w:tblGrid>
      <w:tr w:rsidR="000218ED" w14:paraId="19D4AE48" w14:textId="77777777" w:rsidTr="000218ED">
        <w:trPr>
          <w:trHeight w:val="491"/>
        </w:trPr>
        <w:tc>
          <w:tcPr>
            <w:tcW w:w="5274" w:type="dxa"/>
          </w:tcPr>
          <w:p w14:paraId="3FDE6AAA" w14:textId="77777777" w:rsidR="000218ED" w:rsidRDefault="000218ED" w:rsidP="00F50DB2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4633" w:type="dxa"/>
          </w:tcPr>
          <w:p w14:paraId="52AEE003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</w:tr>
      <w:tr w:rsidR="000218ED" w14:paraId="69F62FE5" w14:textId="77777777" w:rsidTr="000218ED">
        <w:trPr>
          <w:trHeight w:val="493"/>
        </w:trPr>
        <w:tc>
          <w:tcPr>
            <w:tcW w:w="5274" w:type="dxa"/>
          </w:tcPr>
          <w:p w14:paraId="0F2EB5CF" w14:textId="77777777" w:rsidR="000218ED" w:rsidRDefault="000218ED" w:rsidP="00F50DB2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applicable):</w:t>
            </w:r>
          </w:p>
        </w:tc>
        <w:tc>
          <w:tcPr>
            <w:tcW w:w="4633" w:type="dxa"/>
          </w:tcPr>
          <w:p w14:paraId="0E017BC7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</w:tr>
      <w:tr w:rsidR="000218ED" w14:paraId="2534CE45" w14:textId="77777777" w:rsidTr="000218ED">
        <w:trPr>
          <w:trHeight w:val="986"/>
        </w:trPr>
        <w:tc>
          <w:tcPr>
            <w:tcW w:w="5274" w:type="dxa"/>
          </w:tcPr>
          <w:p w14:paraId="249863A5" w14:textId="77777777" w:rsidR="000218ED" w:rsidRDefault="000218ED" w:rsidP="00F50DB2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address:</w:t>
            </w:r>
          </w:p>
        </w:tc>
        <w:tc>
          <w:tcPr>
            <w:tcW w:w="4633" w:type="dxa"/>
          </w:tcPr>
          <w:p w14:paraId="053389A9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</w:tr>
    </w:tbl>
    <w:p w14:paraId="75D9F78B" w14:textId="77777777" w:rsidR="000218ED" w:rsidRDefault="000218ED" w:rsidP="000218ED">
      <w:pPr>
        <w:pStyle w:val="BodyText"/>
        <w:spacing w:before="2"/>
        <w:rPr>
          <w:sz w:val="22"/>
        </w:rPr>
      </w:pPr>
    </w:p>
    <w:p w14:paraId="45FA7E77" w14:textId="77777777" w:rsidR="000218ED" w:rsidRDefault="000218ED" w:rsidP="000218ED">
      <w:pPr>
        <w:ind w:left="100"/>
      </w:pPr>
      <w:r>
        <w:t>Please</w:t>
      </w:r>
      <w:r>
        <w:rPr>
          <w:spacing w:val="-6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respondent:</w:t>
      </w:r>
    </w:p>
    <w:tbl>
      <w:tblPr>
        <w:tblW w:w="991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103"/>
      </w:tblGrid>
      <w:tr w:rsidR="000218ED" w14:paraId="40953D5A" w14:textId="77777777" w:rsidTr="000218ED">
        <w:trPr>
          <w:trHeight w:val="493"/>
        </w:trPr>
        <w:tc>
          <w:tcPr>
            <w:tcW w:w="809" w:type="dxa"/>
          </w:tcPr>
          <w:p w14:paraId="35D27585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3" w:type="dxa"/>
          </w:tcPr>
          <w:p w14:paraId="65F3446F" w14:textId="597CBFDE" w:rsidR="000218ED" w:rsidRDefault="000218ED" w:rsidP="00F50DB2">
            <w:pPr>
              <w:pStyle w:val="TableParagraph"/>
              <w:spacing w:before="120"/>
              <w:ind w:left="108"/>
            </w:pP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attends</w:t>
            </w:r>
            <w:r>
              <w:rPr>
                <w:spacing w:val="-5"/>
              </w:rPr>
              <w:t xml:space="preserve"> </w:t>
            </w:r>
            <w:r w:rsidR="00AF7D1F">
              <w:t xml:space="preserve">Bridgewater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0218ED" w14:paraId="15CD201C" w14:textId="77777777" w:rsidTr="000218ED">
        <w:trPr>
          <w:trHeight w:val="492"/>
        </w:trPr>
        <w:tc>
          <w:tcPr>
            <w:tcW w:w="809" w:type="dxa"/>
          </w:tcPr>
          <w:p w14:paraId="385F762B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3" w:type="dxa"/>
          </w:tcPr>
          <w:p w14:paraId="41452C9B" w14:textId="77777777" w:rsidR="000218ED" w:rsidRDefault="000218ED" w:rsidP="00F50DB2">
            <w:pPr>
              <w:pStyle w:val="TableParagraph"/>
              <w:spacing w:before="120"/>
              <w:ind w:left="108"/>
            </w:pPr>
            <w:r>
              <w:t>Parent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0218ED" w14:paraId="4D9CF7AE" w14:textId="77777777" w:rsidTr="000218ED">
        <w:trPr>
          <w:trHeight w:val="494"/>
        </w:trPr>
        <w:tc>
          <w:tcPr>
            <w:tcW w:w="809" w:type="dxa"/>
          </w:tcPr>
          <w:p w14:paraId="795597ED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3" w:type="dxa"/>
          </w:tcPr>
          <w:p w14:paraId="63B2636B" w14:textId="77777777" w:rsidR="000218ED" w:rsidRDefault="000218ED" w:rsidP="00F50DB2">
            <w:pPr>
              <w:pStyle w:val="TableParagraph"/>
              <w:spacing w:before="120"/>
              <w:ind w:left="108"/>
            </w:pPr>
            <w:r>
              <w:t>Primary/secondary/special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local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0218ED" w14:paraId="0492FD44" w14:textId="77777777" w:rsidTr="000218ED">
        <w:trPr>
          <w:trHeight w:val="491"/>
        </w:trPr>
        <w:tc>
          <w:tcPr>
            <w:tcW w:w="809" w:type="dxa"/>
          </w:tcPr>
          <w:p w14:paraId="19D6B910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3" w:type="dxa"/>
          </w:tcPr>
          <w:p w14:paraId="5D864F09" w14:textId="77777777" w:rsidR="000218ED" w:rsidRDefault="000218ED" w:rsidP="00F50DB2">
            <w:pPr>
              <w:pStyle w:val="TableParagraph"/>
              <w:spacing w:before="120"/>
              <w:ind w:left="108"/>
            </w:pPr>
            <w:r>
              <w:t>Local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</w:tr>
      <w:tr w:rsidR="000218ED" w14:paraId="250268CE" w14:textId="77777777" w:rsidTr="000218ED">
        <w:trPr>
          <w:trHeight w:val="988"/>
        </w:trPr>
        <w:tc>
          <w:tcPr>
            <w:tcW w:w="809" w:type="dxa"/>
          </w:tcPr>
          <w:p w14:paraId="160AC9E3" w14:textId="77777777" w:rsidR="000218ED" w:rsidRDefault="000218ED" w:rsidP="00F5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3" w:type="dxa"/>
          </w:tcPr>
          <w:p w14:paraId="36EFB513" w14:textId="77777777" w:rsidR="000218ED" w:rsidRDefault="000218ED" w:rsidP="00F50DB2">
            <w:pPr>
              <w:pStyle w:val="TableParagraph"/>
              <w:spacing w:before="122"/>
              <w:ind w:left="108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specify)</w:t>
            </w:r>
          </w:p>
        </w:tc>
      </w:tr>
    </w:tbl>
    <w:p w14:paraId="687B6493" w14:textId="77777777" w:rsidR="000218ED" w:rsidRDefault="000218ED" w:rsidP="000218ED">
      <w:pPr>
        <w:pStyle w:val="BodyText"/>
        <w:rPr>
          <w:sz w:val="20"/>
        </w:rPr>
      </w:pPr>
    </w:p>
    <w:p w14:paraId="60CE4F04" w14:textId="77777777" w:rsidR="000218ED" w:rsidRDefault="000218ED" w:rsidP="000218ED">
      <w:pPr>
        <w:pStyle w:val="BodyText"/>
        <w:spacing w:before="45"/>
        <w:rPr>
          <w:sz w:val="20"/>
        </w:rPr>
      </w:pPr>
    </w:p>
    <w:tbl>
      <w:tblPr>
        <w:tblW w:w="9917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7"/>
      </w:tblGrid>
      <w:tr w:rsidR="000218ED" w14:paraId="1EFB1F40" w14:textId="77777777" w:rsidTr="000218ED">
        <w:trPr>
          <w:trHeight w:val="1759"/>
        </w:trPr>
        <w:tc>
          <w:tcPr>
            <w:tcW w:w="9917" w:type="dxa"/>
          </w:tcPr>
          <w:p w14:paraId="65BA30B5" w14:textId="77E39F89" w:rsidR="000218ED" w:rsidRDefault="000218ED" w:rsidP="00F50DB2">
            <w:pPr>
              <w:pStyle w:val="TableParagraph"/>
              <w:ind w:left="107"/>
            </w:pPr>
            <w:r>
              <w:t>1. 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LA’s</w:t>
            </w:r>
            <w:r>
              <w:rPr>
                <w:spacing w:val="-1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remove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AF7D1F">
              <w:t>EY Assessment</w:t>
            </w:r>
            <w:r>
              <w:rPr>
                <w:spacing w:val="-2"/>
              </w:rPr>
              <w:t xml:space="preserve"> </w:t>
            </w:r>
            <w:r>
              <w:t>ARP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 w:rsidR="00AF7D1F">
              <w:t>Bridgewater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from September 202</w:t>
            </w:r>
            <w:r w:rsidR="00AF7D1F">
              <w:t>5</w:t>
            </w:r>
            <w:r>
              <w:t>?</w:t>
            </w:r>
          </w:p>
          <w:p w14:paraId="32EB6AF1" w14:textId="77777777" w:rsidR="000218ED" w:rsidRDefault="000218ED" w:rsidP="00F50DB2">
            <w:pPr>
              <w:pStyle w:val="TableParagraph"/>
              <w:spacing w:before="120"/>
              <w:ind w:left="107"/>
            </w:pPr>
            <w:r>
              <w:rPr>
                <w:spacing w:val="-2"/>
              </w:rPr>
              <w:t>Yes/No</w:t>
            </w:r>
          </w:p>
          <w:p w14:paraId="0C727B91" w14:textId="77777777" w:rsidR="000218ED" w:rsidRDefault="000218ED" w:rsidP="00F50DB2">
            <w:pPr>
              <w:pStyle w:val="TableParagraph"/>
              <w:spacing w:before="242"/>
              <w:ind w:left="107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question</w:t>
            </w:r>
            <w:r>
              <w:rPr>
                <w:spacing w:val="-2"/>
              </w:rPr>
              <w:t xml:space="preserve"> </w:t>
            </w:r>
            <w:r>
              <w:t>3; if No,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</w:tr>
      <w:tr w:rsidR="000218ED" w14:paraId="6ABF8473" w14:textId="77777777" w:rsidTr="000218ED">
        <w:trPr>
          <w:trHeight w:val="1758"/>
        </w:trPr>
        <w:tc>
          <w:tcPr>
            <w:tcW w:w="9917" w:type="dxa"/>
          </w:tcPr>
          <w:p w14:paraId="22EAAF39" w14:textId="77777777" w:rsidR="000218ED" w:rsidRDefault="000218ED" w:rsidP="00F50DB2">
            <w:pPr>
              <w:pStyle w:val="TableParagraph"/>
              <w:spacing w:before="120"/>
              <w:ind w:left="107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proposal,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objections?</w:t>
            </w:r>
          </w:p>
          <w:p w14:paraId="2050D070" w14:textId="77777777" w:rsidR="000218ED" w:rsidRDefault="000218ED" w:rsidP="00F50DB2">
            <w:pPr>
              <w:pStyle w:val="TableParagraph"/>
            </w:pPr>
          </w:p>
          <w:p w14:paraId="57590B0A" w14:textId="77777777" w:rsidR="000218ED" w:rsidRDefault="000218ED" w:rsidP="00F50DB2">
            <w:pPr>
              <w:pStyle w:val="TableParagraph"/>
            </w:pPr>
          </w:p>
          <w:p w14:paraId="0E095ADF" w14:textId="77777777" w:rsidR="000218ED" w:rsidRDefault="000218ED" w:rsidP="00F50DB2">
            <w:pPr>
              <w:pStyle w:val="TableParagraph"/>
            </w:pPr>
          </w:p>
          <w:p w14:paraId="17EFE77E" w14:textId="77777777" w:rsidR="000218ED" w:rsidRDefault="000218ED" w:rsidP="00F50DB2">
            <w:pPr>
              <w:pStyle w:val="TableParagraph"/>
              <w:spacing w:before="119"/>
            </w:pPr>
          </w:p>
          <w:p w14:paraId="69909560" w14:textId="77777777" w:rsidR="000218ED" w:rsidRDefault="000218ED" w:rsidP="00F50DB2">
            <w:pPr>
              <w:pStyle w:val="TableParagraph"/>
              <w:spacing w:line="234" w:lineRule="exact"/>
              <w:ind w:left="107"/>
            </w:pPr>
            <w:r>
              <w:t>Now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question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0218ED" w14:paraId="21021608" w14:textId="77777777" w:rsidTr="000218ED">
        <w:trPr>
          <w:trHeight w:val="1759"/>
        </w:trPr>
        <w:tc>
          <w:tcPr>
            <w:tcW w:w="9917" w:type="dxa"/>
          </w:tcPr>
          <w:p w14:paraId="5049244A" w14:textId="77777777" w:rsidR="000218ED" w:rsidRDefault="000218ED" w:rsidP="00F50DB2">
            <w:pPr>
              <w:pStyle w:val="TableParagraph"/>
              <w:spacing w:before="120"/>
              <w:ind w:left="107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comments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proposal?</w:t>
            </w:r>
          </w:p>
        </w:tc>
      </w:tr>
    </w:tbl>
    <w:p w14:paraId="68140101" w14:textId="77777777" w:rsidR="000218ED" w:rsidRDefault="000218ED" w:rsidP="000218ED">
      <w:pPr>
        <w:pStyle w:val="BodyText"/>
        <w:rPr>
          <w:sz w:val="22"/>
        </w:rPr>
      </w:pPr>
    </w:p>
    <w:p w14:paraId="627763DF" w14:textId="77777777" w:rsidR="000218ED" w:rsidRDefault="000218ED" w:rsidP="000218ED">
      <w:pPr>
        <w:ind w:left="100"/>
      </w:pPr>
      <w:r>
        <w:t>Responses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the:</w:t>
      </w:r>
    </w:p>
    <w:p w14:paraId="193F3A0E" w14:textId="20E0B841" w:rsidR="000218ED" w:rsidRDefault="000218ED" w:rsidP="000218ED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before="1" w:after="0" w:line="268" w:lineRule="exact"/>
        <w:ind w:hanging="360"/>
        <w:contextualSpacing w:val="0"/>
      </w:pP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to:</w:t>
      </w:r>
      <w:r w:rsidR="00736327">
        <w:t xml:space="preserve"> </w:t>
      </w:r>
      <w:hyperlink r:id="rId8" w:history="1">
        <w:r w:rsidR="00736327">
          <w:rPr>
            <w:rStyle w:val="Hyperlink"/>
            <w:sz w:val="23"/>
            <w:szCs w:val="23"/>
          </w:rPr>
          <w:t>sendplaceplanning</w:t>
        </w:r>
        <w:r w:rsidR="00736327" w:rsidRPr="00FA6586">
          <w:rPr>
            <w:rStyle w:val="Hyperlink"/>
            <w:sz w:val="23"/>
            <w:szCs w:val="23"/>
          </w:rPr>
          <w:t>@newcastle.gov.uk</w:t>
        </w:r>
      </w:hyperlink>
      <w:r>
        <w:rPr>
          <w:spacing w:val="-2"/>
        </w:rPr>
        <w:t xml:space="preserve"> </w:t>
      </w:r>
    </w:p>
    <w:p w14:paraId="29A2EEF9" w14:textId="42488ABF" w:rsidR="000218ED" w:rsidRDefault="000218ED" w:rsidP="000218ED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after="0" w:line="268" w:lineRule="exact"/>
        <w:ind w:hanging="360"/>
        <w:contextualSpacing w:val="0"/>
      </w:pPr>
      <w:r>
        <w:t>By</w:t>
      </w:r>
      <w:r>
        <w:rPr>
          <w:spacing w:val="-7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to:</w:t>
      </w:r>
      <w:r>
        <w:rPr>
          <w:spacing w:val="-3"/>
        </w:rPr>
        <w:t xml:space="preserve"> </w:t>
      </w:r>
      <w:r w:rsidR="00736327">
        <w:rPr>
          <w:spacing w:val="-3"/>
        </w:rPr>
        <w:t>SEND Place Planning, 3</w:t>
      </w:r>
      <w:r w:rsidR="00736327" w:rsidRPr="00736327">
        <w:rPr>
          <w:spacing w:val="-3"/>
          <w:vertAlign w:val="superscript"/>
        </w:rPr>
        <w:t>rd</w:t>
      </w:r>
      <w:r w:rsidR="00736327">
        <w:rPr>
          <w:spacing w:val="-3"/>
        </w:rPr>
        <w:t xml:space="preserve"> Floor, Civic Centre, Newcastle NE99 1NP</w:t>
      </w:r>
    </w:p>
    <w:p w14:paraId="6AB68FA9" w14:textId="77777777" w:rsidR="000218ED" w:rsidRDefault="000218ED" w:rsidP="000218ED">
      <w:pPr>
        <w:spacing w:before="251"/>
        <w:ind w:left="100"/>
        <w:rPr>
          <w:b/>
        </w:rPr>
      </w:pPr>
      <w:r>
        <w:rPr>
          <w:b/>
        </w:rPr>
        <w:t>Thank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taking</w:t>
      </w:r>
      <w:r>
        <w:rPr>
          <w:b/>
          <w:spacing w:val="-6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respond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consultation.</w:t>
      </w:r>
    </w:p>
    <w:p w14:paraId="1C5CF0D7" w14:textId="77777777" w:rsidR="00C92560" w:rsidRPr="00C92560" w:rsidRDefault="00C92560" w:rsidP="00C9256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kern w:val="0"/>
        </w:rPr>
      </w:pPr>
    </w:p>
    <w:sectPr w:rsidR="00C92560" w:rsidRPr="00C9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AA8"/>
    <w:multiLevelType w:val="hybridMultilevel"/>
    <w:tmpl w:val="D93674A2"/>
    <w:lvl w:ilvl="0" w:tplc="CB0869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383AE6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EB582400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93DCF5A4">
      <w:numFmt w:val="bullet"/>
      <w:lvlText w:val="•"/>
      <w:lvlJc w:val="left"/>
      <w:pPr>
        <w:ind w:left="3773" w:hanging="361"/>
      </w:pPr>
      <w:rPr>
        <w:rFonts w:hint="default"/>
        <w:lang w:val="en-US" w:eastAsia="en-US" w:bidi="ar-SA"/>
      </w:rPr>
    </w:lvl>
    <w:lvl w:ilvl="4" w:tplc="2FC28810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5" w:tplc="7200CBC0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ar-SA"/>
      </w:rPr>
    </w:lvl>
    <w:lvl w:ilvl="6" w:tplc="2E609258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ar-SA"/>
      </w:rPr>
    </w:lvl>
    <w:lvl w:ilvl="7" w:tplc="DDBC2914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  <w:lvl w:ilvl="8" w:tplc="36523C66">
      <w:numFmt w:val="bullet"/>
      <w:lvlText w:val="•"/>
      <w:lvlJc w:val="left"/>
      <w:pPr>
        <w:ind w:left="869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1416AB"/>
    <w:multiLevelType w:val="hybridMultilevel"/>
    <w:tmpl w:val="83387A98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5D77559A"/>
    <w:multiLevelType w:val="hybridMultilevel"/>
    <w:tmpl w:val="545CB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693833"/>
    <w:multiLevelType w:val="hybridMultilevel"/>
    <w:tmpl w:val="C1CAD44C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390351659">
    <w:abstractNumId w:val="1"/>
  </w:num>
  <w:num w:numId="2" w16cid:durableId="829490666">
    <w:abstractNumId w:val="3"/>
  </w:num>
  <w:num w:numId="3" w16cid:durableId="2088838960">
    <w:abstractNumId w:val="2"/>
  </w:num>
  <w:num w:numId="4" w16cid:durableId="513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D2"/>
    <w:rsid w:val="00007012"/>
    <w:rsid w:val="00014C5B"/>
    <w:rsid w:val="000218ED"/>
    <w:rsid w:val="000A44B0"/>
    <w:rsid w:val="000C4A39"/>
    <w:rsid w:val="00102C78"/>
    <w:rsid w:val="00121051"/>
    <w:rsid w:val="001502FA"/>
    <w:rsid w:val="00157C38"/>
    <w:rsid w:val="00170045"/>
    <w:rsid w:val="00192F28"/>
    <w:rsid w:val="001A390F"/>
    <w:rsid w:val="001D5EDF"/>
    <w:rsid w:val="00265206"/>
    <w:rsid w:val="00283747"/>
    <w:rsid w:val="002910E3"/>
    <w:rsid w:val="003225BC"/>
    <w:rsid w:val="00327D2D"/>
    <w:rsid w:val="00372A17"/>
    <w:rsid w:val="00394FD8"/>
    <w:rsid w:val="003A17A4"/>
    <w:rsid w:val="003A6F4A"/>
    <w:rsid w:val="003A71B5"/>
    <w:rsid w:val="003E7876"/>
    <w:rsid w:val="00407B26"/>
    <w:rsid w:val="004573C3"/>
    <w:rsid w:val="00465ACD"/>
    <w:rsid w:val="00494583"/>
    <w:rsid w:val="004E22CC"/>
    <w:rsid w:val="004F20BC"/>
    <w:rsid w:val="004F7D98"/>
    <w:rsid w:val="005131D8"/>
    <w:rsid w:val="005E6D0A"/>
    <w:rsid w:val="006417A5"/>
    <w:rsid w:val="00656467"/>
    <w:rsid w:val="00665B22"/>
    <w:rsid w:val="006B0E84"/>
    <w:rsid w:val="006D4EB9"/>
    <w:rsid w:val="00736327"/>
    <w:rsid w:val="00767A6F"/>
    <w:rsid w:val="00790036"/>
    <w:rsid w:val="007925E5"/>
    <w:rsid w:val="007B6B19"/>
    <w:rsid w:val="00810FC2"/>
    <w:rsid w:val="0082297D"/>
    <w:rsid w:val="00846E9D"/>
    <w:rsid w:val="00871550"/>
    <w:rsid w:val="008810BB"/>
    <w:rsid w:val="008A42AE"/>
    <w:rsid w:val="008C3BF2"/>
    <w:rsid w:val="008D1DB9"/>
    <w:rsid w:val="00950171"/>
    <w:rsid w:val="009750D2"/>
    <w:rsid w:val="0098324B"/>
    <w:rsid w:val="009970F6"/>
    <w:rsid w:val="009A3287"/>
    <w:rsid w:val="009A77D2"/>
    <w:rsid w:val="009D0DEC"/>
    <w:rsid w:val="00A346A6"/>
    <w:rsid w:val="00AB164F"/>
    <w:rsid w:val="00AD7CE0"/>
    <w:rsid w:val="00AF7D1F"/>
    <w:rsid w:val="00B10B0F"/>
    <w:rsid w:val="00B20AFF"/>
    <w:rsid w:val="00B263BB"/>
    <w:rsid w:val="00B4620A"/>
    <w:rsid w:val="00B50F4C"/>
    <w:rsid w:val="00B6776D"/>
    <w:rsid w:val="00B9598D"/>
    <w:rsid w:val="00C055BD"/>
    <w:rsid w:val="00C23A50"/>
    <w:rsid w:val="00C859FA"/>
    <w:rsid w:val="00C92560"/>
    <w:rsid w:val="00CB55A7"/>
    <w:rsid w:val="00CF4D12"/>
    <w:rsid w:val="00D30038"/>
    <w:rsid w:val="00D746AF"/>
    <w:rsid w:val="00DC5F08"/>
    <w:rsid w:val="00DF2CCB"/>
    <w:rsid w:val="00E337EB"/>
    <w:rsid w:val="00E34BDD"/>
    <w:rsid w:val="00E34C4B"/>
    <w:rsid w:val="00E353CF"/>
    <w:rsid w:val="00E4539E"/>
    <w:rsid w:val="00E847E3"/>
    <w:rsid w:val="00E87A58"/>
    <w:rsid w:val="00E97209"/>
    <w:rsid w:val="00EB66D0"/>
    <w:rsid w:val="00EB74CD"/>
    <w:rsid w:val="00ED7F3D"/>
    <w:rsid w:val="00F251C6"/>
    <w:rsid w:val="00F70BF2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6F03"/>
  <w15:chartTrackingRefBased/>
  <w15:docId w15:val="{59DB712D-AED3-4058-A580-B443FBB1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7D2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  <w:style w:type="paragraph" w:styleId="Revision">
    <w:name w:val="Revision"/>
    <w:hidden/>
    <w:uiPriority w:val="99"/>
    <w:semiHidden/>
    <w:rsid w:val="00B9598D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C3BF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218ED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218ED"/>
    <w:rPr>
      <w:rFonts w:eastAsia="Arial"/>
      <w:kern w:val="0"/>
      <w:sz w:val="23"/>
      <w:szCs w:val="23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18ED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F70B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D7CE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D7CE0"/>
    <w:rPr>
      <w:rFonts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36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steel@newcastl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dplaceplanning@newcastle.gov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Steel, Linda</dc:creator>
  <cp:keywords/>
  <dc:description/>
  <cp:lastModifiedBy>Steel, Linda</cp:lastModifiedBy>
  <cp:revision>2</cp:revision>
  <dcterms:created xsi:type="dcterms:W3CDTF">2024-12-05T09:28:00Z</dcterms:created>
  <dcterms:modified xsi:type="dcterms:W3CDTF">2024-12-05T09:28:00Z</dcterms:modified>
</cp:coreProperties>
</file>