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8CCDB" w14:textId="77777777" w:rsidR="00E47940" w:rsidRDefault="00E47940" w:rsidP="00E47940">
      <w:pPr>
        <w:ind w:left="-709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Terms of Reference</w:t>
      </w:r>
    </w:p>
    <w:p w14:paraId="1E87ACCD" w14:textId="74C6DFFA" w:rsidR="00E47940" w:rsidRPr="00142359" w:rsidRDefault="00E47940" w:rsidP="00E47940">
      <w:pPr>
        <w:ind w:left="-709"/>
        <w:rPr>
          <w:rFonts w:ascii="Arial" w:hAnsi="Arial" w:cs="Arial"/>
          <w:b/>
          <w:color w:val="0070C0"/>
          <w:sz w:val="28"/>
          <w:szCs w:val="28"/>
        </w:rPr>
      </w:pPr>
      <w:r w:rsidRPr="00142359">
        <w:rPr>
          <w:rFonts w:ascii="Arial" w:hAnsi="Arial" w:cs="Arial"/>
          <w:b/>
          <w:color w:val="0070C0"/>
          <w:sz w:val="28"/>
          <w:szCs w:val="28"/>
        </w:rPr>
        <w:t xml:space="preserve">SEN </w:t>
      </w:r>
      <w:r>
        <w:rPr>
          <w:rFonts w:ascii="Arial" w:hAnsi="Arial" w:cs="Arial"/>
          <w:b/>
          <w:color w:val="0070C0"/>
          <w:sz w:val="28"/>
          <w:szCs w:val="28"/>
        </w:rPr>
        <w:t>Advice and Support Allocation Panel (SEN ASAP)</w:t>
      </w:r>
      <w:r w:rsidRPr="00142359">
        <w:rPr>
          <w:rFonts w:ascii="Arial" w:hAnsi="Arial" w:cs="Arial"/>
          <w:b/>
          <w:color w:val="0070C0"/>
          <w:sz w:val="28"/>
          <w:szCs w:val="28"/>
        </w:rPr>
        <w:t xml:space="preserve"> (Tier </w:t>
      </w:r>
      <w:r>
        <w:rPr>
          <w:rFonts w:ascii="Arial" w:hAnsi="Arial" w:cs="Arial"/>
          <w:b/>
          <w:color w:val="0070C0"/>
          <w:sz w:val="28"/>
          <w:szCs w:val="28"/>
        </w:rPr>
        <w:t>2</w:t>
      </w:r>
      <w:r w:rsidRPr="00142359">
        <w:rPr>
          <w:rFonts w:ascii="Arial" w:hAnsi="Arial" w:cs="Arial"/>
          <w:b/>
          <w:color w:val="0070C0"/>
          <w:sz w:val="28"/>
          <w:szCs w:val="28"/>
        </w:rPr>
        <w:t>)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14:paraId="55FCF3A3" w14:textId="77777777" w:rsidR="00E47940" w:rsidRDefault="00E47940" w:rsidP="00E4794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9072"/>
      </w:tblGrid>
      <w:tr w:rsidR="00E47940" w:rsidRPr="007D6E5F" w14:paraId="2D1D7AFB" w14:textId="77777777" w:rsidTr="002150D0">
        <w:tc>
          <w:tcPr>
            <w:tcW w:w="1985" w:type="dxa"/>
          </w:tcPr>
          <w:p w14:paraId="641B92C6" w14:textId="77777777" w:rsidR="00E47940" w:rsidRPr="000962F6" w:rsidRDefault="00E47940" w:rsidP="002150D0">
            <w:pPr>
              <w:spacing w:after="120"/>
              <w:rPr>
                <w:rFonts w:ascii="Arial" w:hAnsi="Arial" w:cs="Arial"/>
                <w:b/>
              </w:rPr>
            </w:pPr>
            <w:r w:rsidRPr="000962F6">
              <w:rPr>
                <w:rFonts w:ascii="Arial" w:hAnsi="Arial" w:cs="Arial"/>
                <w:b/>
              </w:rPr>
              <w:t>Purpose</w:t>
            </w:r>
          </w:p>
        </w:tc>
        <w:tc>
          <w:tcPr>
            <w:tcW w:w="9072" w:type="dxa"/>
          </w:tcPr>
          <w:p w14:paraId="10DA989D" w14:textId="5EAC9419" w:rsidR="00E47940" w:rsidRPr="00441E67" w:rsidRDefault="006B1633" w:rsidP="002150D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Consider requests and allocate specialist staff to p</w:t>
            </w:r>
            <w:r w:rsidR="00E47940" w:rsidRPr="003D47FE">
              <w:rPr>
                <w:rFonts w:ascii="Arial" w:hAnsi="Arial" w:cs="Arial"/>
                <w:sz w:val="24"/>
                <w:szCs w:val="24"/>
              </w:rPr>
              <w:t>rovide specialist advice and guidance to support mainstream inclusion</w:t>
            </w:r>
            <w:r w:rsidR="00E47940">
              <w:rPr>
                <w:rFonts w:ascii="Arial" w:hAnsi="Arial" w:cs="Arial"/>
                <w:sz w:val="24"/>
                <w:szCs w:val="24"/>
              </w:rPr>
              <w:t xml:space="preserve"> within the graduated response to schools and settings</w:t>
            </w:r>
            <w:r w:rsidR="00E47940" w:rsidRPr="003D47FE">
              <w:rPr>
                <w:rFonts w:ascii="Arial" w:hAnsi="Arial" w:cs="Arial"/>
                <w:sz w:val="24"/>
                <w:szCs w:val="24"/>
              </w:rPr>
              <w:t>.  </w:t>
            </w:r>
            <w:r w:rsidR="00EF1CDA">
              <w:rPr>
                <w:rFonts w:ascii="Arial" w:hAnsi="Arial" w:cs="Arial"/>
                <w:sz w:val="24"/>
                <w:szCs w:val="24"/>
              </w:rPr>
              <w:t>To consider applications for Individual Pupil Support Funding.</w:t>
            </w:r>
          </w:p>
        </w:tc>
      </w:tr>
      <w:tr w:rsidR="00E47940" w:rsidRPr="007D6E5F" w14:paraId="33DF3713" w14:textId="77777777" w:rsidTr="002150D0">
        <w:tc>
          <w:tcPr>
            <w:tcW w:w="1985" w:type="dxa"/>
          </w:tcPr>
          <w:p w14:paraId="5F03AEA5" w14:textId="77777777" w:rsidR="00E47940" w:rsidRPr="000962F6" w:rsidRDefault="00E47940" w:rsidP="002150D0">
            <w:pPr>
              <w:spacing w:after="120"/>
              <w:rPr>
                <w:rFonts w:ascii="Arial" w:hAnsi="Arial" w:cs="Arial"/>
                <w:b/>
              </w:rPr>
            </w:pPr>
            <w:r w:rsidRPr="000962F6"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9072" w:type="dxa"/>
          </w:tcPr>
          <w:p w14:paraId="2B4FEA60" w14:textId="77777777" w:rsidR="00E47940" w:rsidRPr="000E4465" w:rsidRDefault="00E47940" w:rsidP="002150D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0E4465">
              <w:rPr>
                <w:rFonts w:ascii="Arial" w:hAnsi="Arial" w:cs="Arial"/>
                <w:sz w:val="24"/>
                <w:szCs w:val="24"/>
              </w:rPr>
              <w:t xml:space="preserve">Angela Gemmell, </w:t>
            </w:r>
            <w:r>
              <w:rPr>
                <w:rFonts w:ascii="Arial" w:hAnsi="Arial" w:cs="Arial"/>
                <w:sz w:val="24"/>
                <w:szCs w:val="24"/>
              </w:rPr>
              <w:t>Manager SEND Outreach Service</w:t>
            </w:r>
          </w:p>
        </w:tc>
      </w:tr>
      <w:tr w:rsidR="00E47940" w:rsidRPr="007D6E5F" w14:paraId="2314B5A3" w14:textId="77777777" w:rsidTr="002150D0">
        <w:tc>
          <w:tcPr>
            <w:tcW w:w="1985" w:type="dxa"/>
          </w:tcPr>
          <w:p w14:paraId="15509159" w14:textId="77777777" w:rsidR="00E47940" w:rsidRPr="000962F6" w:rsidRDefault="00E47940" w:rsidP="002150D0">
            <w:pPr>
              <w:spacing w:after="120"/>
              <w:rPr>
                <w:rFonts w:ascii="Arial" w:hAnsi="Arial" w:cs="Arial"/>
                <w:b/>
              </w:rPr>
            </w:pPr>
            <w:r w:rsidRPr="000962F6">
              <w:rPr>
                <w:rFonts w:ascii="Arial" w:hAnsi="Arial" w:cs="Arial"/>
                <w:b/>
              </w:rPr>
              <w:t>Membership</w:t>
            </w:r>
          </w:p>
        </w:tc>
        <w:tc>
          <w:tcPr>
            <w:tcW w:w="9072" w:type="dxa"/>
          </w:tcPr>
          <w:p w14:paraId="4EE4B4B6" w14:textId="77777777" w:rsidR="00E47940" w:rsidRPr="000E4465" w:rsidRDefault="00E47940" w:rsidP="002150D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0E4465">
              <w:rPr>
                <w:rFonts w:ascii="Arial" w:hAnsi="Arial" w:cs="Arial"/>
                <w:sz w:val="24"/>
                <w:szCs w:val="24"/>
              </w:rPr>
              <w:t>Representatives from:</w:t>
            </w:r>
          </w:p>
          <w:p w14:paraId="36F5787E" w14:textId="77777777" w:rsidR="00E47940" w:rsidRPr="000E4465" w:rsidRDefault="00E47940" w:rsidP="00E47940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SEND Outreach Service</w:t>
            </w:r>
          </w:p>
          <w:p w14:paraId="021C5377" w14:textId="77777777" w:rsidR="00E47940" w:rsidRDefault="00E47940" w:rsidP="00E47940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0E4465">
              <w:rPr>
                <w:rFonts w:ascii="Arial" w:hAnsi="Arial" w:cs="Arial"/>
                <w:sz w:val="24"/>
                <w:szCs w:val="24"/>
              </w:rPr>
              <w:t>Trinity Academy</w:t>
            </w:r>
          </w:p>
          <w:p w14:paraId="13BABFF8" w14:textId="77777777" w:rsidR="00E47940" w:rsidRDefault="00E47940" w:rsidP="00E47940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Hadrian School</w:t>
            </w:r>
          </w:p>
          <w:p w14:paraId="7E63485C" w14:textId="77777777" w:rsidR="00E47940" w:rsidRPr="000E4465" w:rsidRDefault="00E47940" w:rsidP="00E47940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Sir Charles Parsons School</w:t>
            </w:r>
          </w:p>
          <w:p w14:paraId="41DBFC44" w14:textId="77777777" w:rsidR="00E47940" w:rsidRPr="000E4465" w:rsidRDefault="00E47940" w:rsidP="00E47940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0E4465">
              <w:rPr>
                <w:rFonts w:ascii="Arial" w:hAnsi="Arial" w:cs="Arial"/>
                <w:sz w:val="24"/>
                <w:szCs w:val="24"/>
              </w:rPr>
              <w:t>Schools (SENCO)</w:t>
            </w:r>
          </w:p>
          <w:p w14:paraId="2F698682" w14:textId="77777777" w:rsidR="00E47940" w:rsidRPr="000E4465" w:rsidRDefault="00E47940" w:rsidP="00E47940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0E4465">
              <w:rPr>
                <w:rFonts w:ascii="Arial" w:hAnsi="Arial" w:cs="Arial"/>
                <w:sz w:val="24"/>
                <w:szCs w:val="24"/>
              </w:rPr>
              <w:t>Educational Psychology Service</w:t>
            </w:r>
          </w:p>
          <w:p w14:paraId="7E59FFD7" w14:textId="77777777" w:rsidR="00E47940" w:rsidRPr="00F405EB" w:rsidRDefault="00E47940" w:rsidP="00E47940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</w:rPr>
            </w:pPr>
            <w:r w:rsidRPr="000E4465">
              <w:rPr>
                <w:rFonts w:ascii="Arial" w:hAnsi="Arial" w:cs="Arial"/>
                <w:sz w:val="24"/>
                <w:szCs w:val="24"/>
              </w:rPr>
              <w:t>School Effectiveness SEN team</w:t>
            </w:r>
          </w:p>
          <w:p w14:paraId="5DB8DA68" w14:textId="77777777" w:rsidR="00E47940" w:rsidRDefault="00E47940" w:rsidP="00E47940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0E4465">
              <w:rPr>
                <w:rFonts w:ascii="Arial" w:hAnsi="Arial" w:cs="Arial"/>
                <w:sz w:val="24"/>
                <w:szCs w:val="24"/>
              </w:rPr>
              <w:t xml:space="preserve">SEN </w:t>
            </w:r>
            <w:proofErr w:type="spellStart"/>
            <w:r w:rsidRPr="000E4465">
              <w:rPr>
                <w:rFonts w:ascii="Arial" w:hAnsi="Arial" w:cs="Arial"/>
                <w:sz w:val="24"/>
                <w:szCs w:val="24"/>
              </w:rPr>
              <w:t>SPoC</w:t>
            </w:r>
            <w:proofErr w:type="spellEnd"/>
            <w:r w:rsidRPr="000E4465">
              <w:rPr>
                <w:rFonts w:ascii="Arial" w:hAnsi="Arial" w:cs="Arial"/>
                <w:sz w:val="24"/>
                <w:szCs w:val="24"/>
              </w:rPr>
              <w:t xml:space="preserve"> Administrator</w:t>
            </w:r>
          </w:p>
          <w:p w14:paraId="179FB900" w14:textId="77777777" w:rsidR="00E47940" w:rsidRDefault="00E47940" w:rsidP="00E47940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Early Help</w:t>
            </w:r>
          </w:p>
          <w:p w14:paraId="6588FA15" w14:textId="77777777" w:rsidR="00E47940" w:rsidRDefault="00E47940" w:rsidP="00E47940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Virtual School</w:t>
            </w:r>
          </w:p>
          <w:p w14:paraId="52EEE39A" w14:textId="77777777" w:rsidR="00E47940" w:rsidRPr="000E4465" w:rsidRDefault="00E47940" w:rsidP="00E47940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SEND Finance</w:t>
            </w:r>
          </w:p>
          <w:p w14:paraId="319E5AF8" w14:textId="77777777" w:rsidR="00E47940" w:rsidRPr="00AF25F5" w:rsidRDefault="00E47940" w:rsidP="002150D0">
            <w:pPr>
              <w:pStyle w:val="ListParagraph"/>
              <w:spacing w:after="12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E47940" w:rsidRPr="007D6E5F" w14:paraId="4E834088" w14:textId="77777777" w:rsidTr="002150D0">
        <w:tc>
          <w:tcPr>
            <w:tcW w:w="1985" w:type="dxa"/>
          </w:tcPr>
          <w:p w14:paraId="6C88E403" w14:textId="77777777" w:rsidR="00E47940" w:rsidRPr="000962F6" w:rsidRDefault="00E47940" w:rsidP="002150D0">
            <w:pPr>
              <w:spacing w:after="120"/>
              <w:rPr>
                <w:rFonts w:ascii="Arial" w:hAnsi="Arial" w:cs="Arial"/>
                <w:b/>
              </w:rPr>
            </w:pPr>
            <w:r w:rsidRPr="000962F6">
              <w:rPr>
                <w:rFonts w:ascii="Arial" w:hAnsi="Arial" w:cs="Arial"/>
                <w:b/>
              </w:rPr>
              <w:t xml:space="preserve">Meetings </w:t>
            </w:r>
          </w:p>
        </w:tc>
        <w:tc>
          <w:tcPr>
            <w:tcW w:w="9072" w:type="dxa"/>
          </w:tcPr>
          <w:p w14:paraId="5AA030F6" w14:textId="77777777" w:rsidR="00E47940" w:rsidRPr="000E4465" w:rsidRDefault="00E47940" w:rsidP="002150D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0E4465">
              <w:rPr>
                <w:rFonts w:ascii="Arial" w:hAnsi="Arial" w:cs="Arial"/>
                <w:sz w:val="24"/>
                <w:szCs w:val="24"/>
              </w:rPr>
              <w:t>Meets every 2 weeks</w:t>
            </w:r>
            <w:r>
              <w:rPr>
                <w:rFonts w:ascii="Arial" w:hAnsi="Arial" w:cs="Arial"/>
                <w:sz w:val="24"/>
                <w:szCs w:val="24"/>
              </w:rPr>
              <w:t xml:space="preserve"> during school term time</w:t>
            </w:r>
          </w:p>
        </w:tc>
      </w:tr>
      <w:tr w:rsidR="00E47940" w:rsidRPr="007D6E5F" w14:paraId="7CCF4C2B" w14:textId="77777777" w:rsidTr="002150D0">
        <w:tc>
          <w:tcPr>
            <w:tcW w:w="1985" w:type="dxa"/>
          </w:tcPr>
          <w:p w14:paraId="1C4F8237" w14:textId="77777777" w:rsidR="00E47940" w:rsidRPr="000962F6" w:rsidRDefault="00E47940" w:rsidP="002150D0">
            <w:pPr>
              <w:spacing w:after="120"/>
              <w:rPr>
                <w:rFonts w:ascii="Arial" w:hAnsi="Arial" w:cs="Arial"/>
                <w:b/>
              </w:rPr>
            </w:pPr>
            <w:r w:rsidRPr="000962F6">
              <w:rPr>
                <w:rFonts w:ascii="Arial" w:hAnsi="Arial" w:cs="Arial"/>
                <w:b/>
              </w:rPr>
              <w:t>Agenda items</w:t>
            </w:r>
          </w:p>
        </w:tc>
        <w:tc>
          <w:tcPr>
            <w:tcW w:w="9072" w:type="dxa"/>
          </w:tcPr>
          <w:p w14:paraId="31434588" w14:textId="07F4243C" w:rsidR="00E47940" w:rsidRPr="000E4465" w:rsidRDefault="00E47940" w:rsidP="002150D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0E4465">
              <w:rPr>
                <w:rFonts w:ascii="Arial" w:hAnsi="Arial" w:cs="Arial"/>
                <w:sz w:val="24"/>
                <w:szCs w:val="24"/>
              </w:rPr>
              <w:t>Requests for Involvement (</w:t>
            </w:r>
            <w:proofErr w:type="spellStart"/>
            <w:r w:rsidRPr="000E4465">
              <w:rPr>
                <w:rFonts w:ascii="Arial" w:hAnsi="Arial" w:cs="Arial"/>
                <w:sz w:val="24"/>
                <w:szCs w:val="24"/>
              </w:rPr>
              <w:t>RfI</w:t>
            </w:r>
            <w:proofErr w:type="spellEnd"/>
            <w:r w:rsidRPr="000E4465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from schools and settings, Applications for Individual Pupil Support (schools only</w:t>
            </w:r>
            <w:r w:rsidR="000D46C9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0D46C9" w:rsidRPr="000D46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397B" w:rsidRPr="000D46C9">
              <w:rPr>
                <w:rFonts w:ascii="Arial" w:hAnsi="Arial" w:cs="Arial"/>
                <w:sz w:val="24"/>
                <w:szCs w:val="24"/>
              </w:rPr>
              <w:t>EY inclusion fund</w:t>
            </w:r>
            <w:r w:rsidR="000D46C9" w:rsidRPr="000D46C9">
              <w:rPr>
                <w:rFonts w:ascii="Arial" w:hAnsi="Arial" w:cs="Arial"/>
                <w:sz w:val="24"/>
                <w:szCs w:val="24"/>
              </w:rPr>
              <w:t xml:space="preserve"> applications are considered at the EY Inclusion Fund Panel)</w:t>
            </w:r>
          </w:p>
        </w:tc>
      </w:tr>
      <w:tr w:rsidR="00E47940" w:rsidRPr="007D6E5F" w14:paraId="644479A7" w14:textId="77777777" w:rsidTr="002150D0">
        <w:tc>
          <w:tcPr>
            <w:tcW w:w="1985" w:type="dxa"/>
          </w:tcPr>
          <w:p w14:paraId="37A9FEB0" w14:textId="77777777" w:rsidR="00E47940" w:rsidRPr="000962F6" w:rsidRDefault="00E47940" w:rsidP="002150D0">
            <w:pPr>
              <w:spacing w:after="120"/>
              <w:rPr>
                <w:rFonts w:ascii="Arial" w:hAnsi="Arial" w:cs="Arial"/>
                <w:b/>
              </w:rPr>
            </w:pPr>
            <w:r w:rsidRPr="000962F6">
              <w:rPr>
                <w:rFonts w:ascii="Arial" w:hAnsi="Arial" w:cs="Arial"/>
                <w:b/>
              </w:rPr>
              <w:t>Applications process</w:t>
            </w:r>
          </w:p>
        </w:tc>
        <w:tc>
          <w:tcPr>
            <w:tcW w:w="9072" w:type="dxa"/>
          </w:tcPr>
          <w:p w14:paraId="0F9C8387" w14:textId="77777777" w:rsidR="00E47940" w:rsidRPr="000E4465" w:rsidRDefault="00E47940" w:rsidP="002150D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0E4465">
              <w:rPr>
                <w:rFonts w:ascii="Arial" w:hAnsi="Arial" w:cs="Arial"/>
                <w:sz w:val="24"/>
                <w:szCs w:val="24"/>
              </w:rPr>
              <w:t>Electronic for schools</w:t>
            </w:r>
          </w:p>
          <w:p w14:paraId="026E8081" w14:textId="77777777" w:rsidR="00E47940" w:rsidRPr="005F4AF6" w:rsidRDefault="00E47940" w:rsidP="002150D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F4AF6">
              <w:rPr>
                <w:rFonts w:ascii="Arial" w:hAnsi="Arial" w:cs="Arial"/>
                <w:color w:val="000000" w:themeColor="text1"/>
                <w:sz w:val="24"/>
                <w:szCs w:val="24"/>
              </w:rPr>
              <w:t>Paper requests can be posted</w:t>
            </w:r>
          </w:p>
        </w:tc>
      </w:tr>
      <w:tr w:rsidR="00E47940" w:rsidRPr="007D6E5F" w14:paraId="62E93A3F" w14:textId="77777777" w:rsidTr="002150D0">
        <w:tc>
          <w:tcPr>
            <w:tcW w:w="1985" w:type="dxa"/>
          </w:tcPr>
          <w:p w14:paraId="31FBDCA1" w14:textId="77777777" w:rsidR="00E47940" w:rsidRPr="000962F6" w:rsidRDefault="00E47940" w:rsidP="002150D0">
            <w:pPr>
              <w:spacing w:after="120"/>
              <w:rPr>
                <w:rFonts w:ascii="Arial" w:hAnsi="Arial" w:cs="Arial"/>
                <w:b/>
              </w:rPr>
            </w:pPr>
            <w:r w:rsidRPr="000962F6">
              <w:rPr>
                <w:rFonts w:ascii="Arial" w:hAnsi="Arial" w:cs="Arial"/>
                <w:b/>
              </w:rPr>
              <w:t>Address applications to:</w:t>
            </w:r>
          </w:p>
        </w:tc>
        <w:tc>
          <w:tcPr>
            <w:tcW w:w="9072" w:type="dxa"/>
          </w:tcPr>
          <w:p w14:paraId="264BD89E" w14:textId="77777777" w:rsidR="00E47940" w:rsidRPr="000E4465" w:rsidRDefault="00E47940" w:rsidP="002150D0">
            <w:pPr>
              <w:rPr>
                <w:rFonts w:ascii="Arial" w:hAnsi="Arial" w:cs="Arial"/>
                <w:sz w:val="24"/>
                <w:szCs w:val="24"/>
              </w:rPr>
            </w:pPr>
            <w:r w:rsidRPr="000E4465">
              <w:rPr>
                <w:rFonts w:ascii="Arial" w:hAnsi="Arial" w:cs="Arial"/>
                <w:sz w:val="24"/>
                <w:szCs w:val="24"/>
              </w:rPr>
              <w:t xml:space="preserve">SEN </w:t>
            </w:r>
            <w:r>
              <w:rPr>
                <w:rFonts w:ascii="Arial" w:hAnsi="Arial" w:cs="Arial"/>
                <w:sz w:val="24"/>
                <w:szCs w:val="24"/>
              </w:rPr>
              <w:t>ASAP</w:t>
            </w:r>
            <w:r w:rsidRPr="000E4465">
              <w:rPr>
                <w:rFonts w:ascii="Arial" w:hAnsi="Arial" w:cs="Arial"/>
                <w:sz w:val="24"/>
                <w:szCs w:val="24"/>
              </w:rPr>
              <w:t xml:space="preserve"> admin</w:t>
            </w:r>
          </w:p>
          <w:p w14:paraId="46C1EDDB" w14:textId="77777777" w:rsidR="00E47940" w:rsidRPr="000E4465" w:rsidRDefault="00E47940" w:rsidP="002150D0">
            <w:pPr>
              <w:rPr>
                <w:rFonts w:ascii="Arial" w:hAnsi="Arial" w:cs="Arial"/>
                <w:sz w:val="24"/>
                <w:szCs w:val="24"/>
              </w:rPr>
            </w:pPr>
            <w:r w:rsidRPr="000E4465">
              <w:rPr>
                <w:rFonts w:ascii="Arial" w:hAnsi="Arial" w:cs="Arial"/>
                <w:sz w:val="24"/>
                <w:szCs w:val="24"/>
              </w:rPr>
              <w:t>Library Block</w:t>
            </w:r>
          </w:p>
          <w:p w14:paraId="18CEB6D7" w14:textId="77777777" w:rsidR="00E47940" w:rsidRPr="000E4465" w:rsidRDefault="00E47940" w:rsidP="002150D0">
            <w:pPr>
              <w:rPr>
                <w:rFonts w:ascii="Arial" w:hAnsi="Arial" w:cs="Arial"/>
                <w:sz w:val="24"/>
                <w:szCs w:val="24"/>
              </w:rPr>
            </w:pPr>
            <w:r w:rsidRPr="000E4465">
              <w:rPr>
                <w:rFonts w:ascii="Arial" w:hAnsi="Arial" w:cs="Arial"/>
                <w:sz w:val="24"/>
                <w:szCs w:val="24"/>
              </w:rPr>
              <w:t>Westgate Community College</w:t>
            </w:r>
          </w:p>
          <w:p w14:paraId="4D490622" w14:textId="77777777" w:rsidR="00E47940" w:rsidRPr="000E4465" w:rsidRDefault="00E47940" w:rsidP="002150D0">
            <w:pPr>
              <w:rPr>
                <w:rFonts w:ascii="Arial" w:hAnsi="Arial" w:cs="Arial"/>
                <w:sz w:val="24"/>
                <w:szCs w:val="24"/>
              </w:rPr>
            </w:pPr>
            <w:r w:rsidRPr="000E4465">
              <w:rPr>
                <w:rFonts w:ascii="Arial" w:hAnsi="Arial" w:cs="Arial"/>
                <w:sz w:val="24"/>
                <w:szCs w:val="24"/>
              </w:rPr>
              <w:t>West Road</w:t>
            </w:r>
          </w:p>
          <w:p w14:paraId="057D30C1" w14:textId="77777777" w:rsidR="00E47940" w:rsidRDefault="00E47940" w:rsidP="002150D0">
            <w:pPr>
              <w:rPr>
                <w:rFonts w:ascii="Arial" w:hAnsi="Arial" w:cs="Arial"/>
                <w:sz w:val="24"/>
                <w:szCs w:val="24"/>
              </w:rPr>
            </w:pPr>
            <w:r w:rsidRPr="000E4465">
              <w:rPr>
                <w:rFonts w:ascii="Arial" w:hAnsi="Arial" w:cs="Arial"/>
                <w:sz w:val="24"/>
                <w:szCs w:val="24"/>
              </w:rPr>
              <w:t>NE4 9LU</w:t>
            </w:r>
          </w:p>
          <w:p w14:paraId="2EC40CE5" w14:textId="77777777" w:rsidR="00E47940" w:rsidRDefault="00E47940" w:rsidP="002150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2F6A2F" w14:textId="60600CF8" w:rsidR="00E47940" w:rsidRDefault="00E47940" w:rsidP="002150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4A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Email: </w:t>
            </w:r>
            <w:hyperlink r:id="rId5" w:history="1">
              <w:r w:rsidR="006B1633" w:rsidRPr="00613793">
                <w:rPr>
                  <w:rStyle w:val="Hyperlink"/>
                  <w:rFonts w:ascii="Arial" w:hAnsi="Arial" w:cs="Arial"/>
                  <w:sz w:val="24"/>
                  <w:szCs w:val="24"/>
                </w:rPr>
                <w:t>SENASAP@newcastle.gov.uk</w:t>
              </w:r>
            </w:hyperlink>
            <w:r w:rsidRPr="005F4A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009615E" w14:textId="77777777" w:rsidR="00E47940" w:rsidRPr="005F4AF6" w:rsidRDefault="00E47940" w:rsidP="002150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7940" w:rsidRPr="007D6E5F" w14:paraId="6FB36FC4" w14:textId="77777777" w:rsidTr="002150D0">
        <w:tc>
          <w:tcPr>
            <w:tcW w:w="1985" w:type="dxa"/>
          </w:tcPr>
          <w:p w14:paraId="286C80B1" w14:textId="77777777" w:rsidR="00E47940" w:rsidRPr="000962F6" w:rsidRDefault="00E47940" w:rsidP="002150D0">
            <w:pPr>
              <w:spacing w:after="120"/>
              <w:rPr>
                <w:rFonts w:ascii="Arial" w:hAnsi="Arial" w:cs="Arial"/>
                <w:b/>
              </w:rPr>
            </w:pPr>
            <w:bookmarkStart w:id="0" w:name="_Hlk13582294"/>
            <w:r w:rsidRPr="000962F6">
              <w:rPr>
                <w:rFonts w:ascii="Arial" w:hAnsi="Arial" w:cs="Arial"/>
                <w:b/>
              </w:rPr>
              <w:t>Panel Processes</w:t>
            </w:r>
          </w:p>
        </w:tc>
        <w:tc>
          <w:tcPr>
            <w:tcW w:w="9072" w:type="dxa"/>
            <w:shd w:val="clear" w:color="auto" w:fill="auto"/>
          </w:tcPr>
          <w:p w14:paraId="6591DF2A" w14:textId="77777777" w:rsidR="00E47940" w:rsidRPr="005560B7" w:rsidRDefault="00E47940" w:rsidP="000D46C9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560B7">
              <w:rPr>
                <w:rFonts w:ascii="Arial" w:hAnsi="Arial" w:cs="Arial"/>
                <w:sz w:val="24"/>
                <w:szCs w:val="24"/>
              </w:rPr>
              <w:t>An agenda is circulated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60B7">
              <w:rPr>
                <w:rFonts w:ascii="Arial" w:hAnsi="Arial" w:cs="Arial"/>
                <w:sz w:val="24"/>
                <w:szCs w:val="24"/>
              </w:rPr>
              <w:t>in advance of the Panel meeting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3B5BDEB" w14:textId="77777777" w:rsidR="00D34B11" w:rsidRDefault="00E47940" w:rsidP="000D46C9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560B7">
              <w:rPr>
                <w:rFonts w:ascii="Arial" w:hAnsi="Arial" w:cs="Arial"/>
                <w:sz w:val="24"/>
                <w:szCs w:val="24"/>
              </w:rPr>
              <w:t>The Panel need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5560B7">
              <w:rPr>
                <w:rFonts w:ascii="Arial" w:hAnsi="Arial" w:cs="Arial"/>
                <w:sz w:val="24"/>
                <w:szCs w:val="24"/>
              </w:rPr>
              <w:t xml:space="preserve"> to have clear evidence of the </w:t>
            </w:r>
            <w:r w:rsidR="00D34B11">
              <w:rPr>
                <w:rFonts w:ascii="Arial" w:hAnsi="Arial" w:cs="Arial"/>
                <w:sz w:val="24"/>
                <w:szCs w:val="24"/>
              </w:rPr>
              <w:t>following:</w:t>
            </w:r>
          </w:p>
          <w:p w14:paraId="40837986" w14:textId="77777777" w:rsidR="00D34B11" w:rsidRDefault="00D34B11" w:rsidP="00D34B11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E47940" w:rsidRPr="005560B7">
              <w:rPr>
                <w:rFonts w:ascii="Arial" w:hAnsi="Arial" w:cs="Arial"/>
                <w:sz w:val="24"/>
                <w:szCs w:val="24"/>
              </w:rPr>
              <w:t>hild/ young person’s special educational needs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38308AFC" w14:textId="77777777" w:rsidR="00D34B11" w:rsidRPr="00D34B11" w:rsidRDefault="00D34B11" w:rsidP="00D34B11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Implementation of</w:t>
            </w:r>
            <w:r w:rsidR="00E479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7940" w:rsidRPr="005F4A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Newcastle SEND Mainstream </w:t>
            </w:r>
            <w:r w:rsidRPr="005F4AF6">
              <w:rPr>
                <w:rFonts w:ascii="Arial" w:hAnsi="Arial" w:cs="Arial"/>
                <w:color w:val="000000" w:themeColor="text1"/>
                <w:sz w:val="24"/>
                <w:szCs w:val="24"/>
              </w:rPr>
              <w:t>Guidance,</w:t>
            </w:r>
            <w:r w:rsidR="000D46C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or the Early Years Universally Available Guidance</w:t>
            </w:r>
          </w:p>
          <w:p w14:paraId="77946E48" w14:textId="22A3A162" w:rsidR="000D46C9" w:rsidRPr="00D34B11" w:rsidRDefault="000D46C9" w:rsidP="00D34B11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34B11">
              <w:rPr>
                <w:rFonts w:ascii="Arial" w:hAnsi="Arial" w:cs="Arial"/>
                <w:sz w:val="24"/>
                <w:szCs w:val="24"/>
              </w:rPr>
              <w:t>Assess, Plan, Do Review approach outlined in the SEND Code of Practice.</w:t>
            </w:r>
          </w:p>
          <w:p w14:paraId="1D20BC90" w14:textId="7A528B20" w:rsidR="00E47940" w:rsidRDefault="00D34B11" w:rsidP="000D46C9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addition, f</w:t>
            </w:r>
            <w:r w:rsidR="00E47940">
              <w:rPr>
                <w:rFonts w:ascii="Arial" w:hAnsi="Arial" w:cs="Arial"/>
                <w:sz w:val="24"/>
                <w:szCs w:val="24"/>
              </w:rPr>
              <w:t>or IPS funding applications, Panel needs to have evidence of how school’s notional SEN has been spent.</w:t>
            </w:r>
            <w:r w:rsidR="00E47940" w:rsidRPr="00451AA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45E1CB0" w14:textId="59880153" w:rsidR="00EB397B" w:rsidRPr="00EB397B" w:rsidRDefault="00E47940" w:rsidP="000D46C9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From September 2021 schools</w:t>
            </w:r>
            <w:r w:rsidR="00EB397B">
              <w:rPr>
                <w:rFonts w:ascii="Arial" w:hAnsi="Arial" w:cs="Arial"/>
                <w:sz w:val="24"/>
                <w:szCs w:val="24"/>
              </w:rPr>
              <w:t xml:space="preserve"> and settings</w:t>
            </w:r>
            <w:r>
              <w:rPr>
                <w:rFonts w:ascii="Arial" w:hAnsi="Arial" w:cs="Arial"/>
                <w:sz w:val="24"/>
                <w:szCs w:val="24"/>
              </w:rPr>
              <w:t xml:space="preserve"> need to submit a Newcastle SEND Support Plan</w:t>
            </w:r>
          </w:p>
          <w:p w14:paraId="5DEFD84A" w14:textId="106EAA20" w:rsidR="00E47940" w:rsidRPr="00B21090" w:rsidRDefault="00E47940" w:rsidP="000D46C9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color w:val="000000" w:themeColor="text1"/>
              </w:rPr>
            </w:pPr>
            <w:r w:rsidRPr="005560B7">
              <w:rPr>
                <w:rFonts w:ascii="Arial" w:hAnsi="Arial" w:cs="Arial"/>
                <w:sz w:val="24"/>
                <w:szCs w:val="24"/>
              </w:rPr>
              <w:t xml:space="preserve">Cases are considered </w:t>
            </w:r>
            <w:r>
              <w:rPr>
                <w:rFonts w:ascii="Arial" w:hAnsi="Arial" w:cs="Arial"/>
                <w:sz w:val="24"/>
                <w:szCs w:val="24"/>
              </w:rPr>
              <w:t xml:space="preserve">by the Panel on an </w:t>
            </w:r>
            <w:r w:rsidRPr="005560B7">
              <w:rPr>
                <w:rFonts w:ascii="Arial" w:hAnsi="Arial" w:cs="Arial"/>
                <w:sz w:val="24"/>
                <w:szCs w:val="24"/>
              </w:rPr>
              <w:t>individual</w:t>
            </w:r>
            <w:r>
              <w:rPr>
                <w:rFonts w:ascii="Arial" w:hAnsi="Arial" w:cs="Arial"/>
                <w:sz w:val="24"/>
                <w:szCs w:val="24"/>
              </w:rPr>
              <w:t xml:space="preserve"> basis and allocated to relevant personnel </w:t>
            </w:r>
            <w:r w:rsidR="00D34B11">
              <w:rPr>
                <w:rFonts w:ascii="Arial" w:hAnsi="Arial" w:cs="Arial"/>
                <w:sz w:val="24"/>
                <w:szCs w:val="24"/>
              </w:rPr>
              <w:t>and/</w:t>
            </w:r>
            <w:r>
              <w:rPr>
                <w:rFonts w:ascii="Arial" w:hAnsi="Arial" w:cs="Arial"/>
                <w:sz w:val="24"/>
                <w:szCs w:val="24"/>
              </w:rPr>
              <w:t>or funding is agreed.</w:t>
            </w:r>
            <w:r w:rsidRPr="005560B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49808C" w14:textId="3AAAB288" w:rsidR="00E47940" w:rsidRPr="00AF25F5" w:rsidRDefault="00E47940" w:rsidP="000D46C9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Schools and settings are provided with other advice </w:t>
            </w:r>
            <w:r w:rsidR="00D34B11">
              <w:rPr>
                <w:rFonts w:ascii="Arial" w:hAnsi="Arial" w:cs="Arial"/>
                <w:sz w:val="24"/>
                <w:szCs w:val="24"/>
              </w:rPr>
              <w:t>where appropriate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FD569C0" w14:textId="1BA84850" w:rsidR="00E47940" w:rsidRPr="00173597" w:rsidRDefault="00E47940" w:rsidP="000D46C9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color w:val="000000" w:themeColor="text1"/>
              </w:rPr>
            </w:pPr>
            <w:r w:rsidRPr="005560B7">
              <w:rPr>
                <w:rFonts w:ascii="Arial" w:hAnsi="Arial" w:cs="Arial"/>
                <w:sz w:val="24"/>
                <w:szCs w:val="24"/>
              </w:rPr>
              <w:lastRenderedPageBreak/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 xml:space="preserve">SEN ASAP </w:t>
            </w:r>
            <w:r w:rsidR="00D34B11">
              <w:rPr>
                <w:rFonts w:ascii="Arial" w:hAnsi="Arial" w:cs="Arial"/>
                <w:sz w:val="24"/>
                <w:szCs w:val="24"/>
              </w:rPr>
              <w:t>Business Support</w:t>
            </w:r>
            <w:r w:rsidRPr="005560B7">
              <w:rPr>
                <w:rFonts w:ascii="Arial" w:hAnsi="Arial" w:cs="Arial"/>
                <w:sz w:val="24"/>
                <w:szCs w:val="24"/>
              </w:rPr>
              <w:t xml:space="preserve"> records the recommendations of the Panel and drafts minutes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A858635" w14:textId="77777777" w:rsidR="00DA292B" w:rsidRPr="00DA292B" w:rsidRDefault="00D34B11" w:rsidP="000D46C9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Notification of decisions</w:t>
            </w:r>
            <w:r w:rsidR="00E47940" w:rsidRPr="005F4A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are</w:t>
            </w:r>
            <w:r w:rsidR="00E47940" w:rsidRPr="005F4A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provided to school/setting within 5 working days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of</w:t>
            </w:r>
            <w:r w:rsidR="00E47940" w:rsidRPr="005F4A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 Panel meeting.</w:t>
            </w:r>
          </w:p>
          <w:p w14:paraId="3946E45C" w14:textId="2B39522B" w:rsidR="00E47940" w:rsidRPr="005F4AF6" w:rsidRDefault="00DA292B" w:rsidP="000D46C9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Evaluations and outcome measures including pre and post questionnaires are collected after an agreed period of time.</w:t>
            </w:r>
            <w:r w:rsidR="00E47940" w:rsidRPr="005F4A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47940" w:rsidRPr="007D6E5F" w14:paraId="3510E651" w14:textId="77777777" w:rsidTr="002150D0">
        <w:tc>
          <w:tcPr>
            <w:tcW w:w="1985" w:type="dxa"/>
          </w:tcPr>
          <w:p w14:paraId="51D3A3F2" w14:textId="77777777" w:rsidR="00E47940" w:rsidRPr="000962F6" w:rsidRDefault="00E47940" w:rsidP="002150D0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Agreed actions</w:t>
            </w:r>
          </w:p>
        </w:tc>
        <w:tc>
          <w:tcPr>
            <w:tcW w:w="9072" w:type="dxa"/>
            <w:shd w:val="clear" w:color="auto" w:fill="auto"/>
          </w:tcPr>
          <w:p w14:paraId="3F454A90" w14:textId="3540D3FA" w:rsidR="00E47940" w:rsidRDefault="00E47940" w:rsidP="002150D0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val="en-GB" w:eastAsia="en-GB"/>
              </w:rPr>
              <w:t xml:space="preserve">The </w:t>
            </w:r>
            <w:r w:rsidRPr="005560B7">
              <w:rPr>
                <w:rFonts w:ascii="Arial" w:eastAsia="Times New Roman" w:hAnsi="Arial" w:cs="Times New Roman"/>
                <w:sz w:val="24"/>
                <w:szCs w:val="20"/>
                <w:lang w:val="en-GB" w:eastAsia="en-GB"/>
              </w:rPr>
              <w:t>S</w:t>
            </w:r>
            <w:r>
              <w:rPr>
                <w:rFonts w:ascii="Arial" w:eastAsia="Times New Roman" w:hAnsi="Arial" w:cs="Times New Roman"/>
                <w:sz w:val="24"/>
                <w:szCs w:val="20"/>
                <w:lang w:val="en-GB" w:eastAsia="en-GB"/>
              </w:rPr>
              <w:t xml:space="preserve">EN ASAP </w:t>
            </w:r>
            <w:r w:rsidRPr="005560B7">
              <w:rPr>
                <w:rFonts w:ascii="Arial" w:eastAsia="Times New Roman" w:hAnsi="Arial" w:cs="Times New Roman"/>
                <w:sz w:val="24"/>
                <w:szCs w:val="20"/>
                <w:lang w:val="en-GB" w:eastAsia="en-GB"/>
              </w:rPr>
              <w:t xml:space="preserve">support may involve some or, occasionally, </w:t>
            </w:r>
            <w:proofErr w:type="gramStart"/>
            <w:r w:rsidRPr="005560B7">
              <w:rPr>
                <w:rFonts w:ascii="Arial" w:eastAsia="Times New Roman" w:hAnsi="Arial" w:cs="Times New Roman"/>
                <w:sz w:val="24"/>
                <w:szCs w:val="20"/>
                <w:lang w:val="en-GB" w:eastAsia="en-GB"/>
              </w:rPr>
              <w:t>all of</w:t>
            </w:r>
            <w:proofErr w:type="gramEnd"/>
            <w:r w:rsidRPr="005560B7">
              <w:rPr>
                <w:rFonts w:ascii="Arial" w:eastAsia="Times New Roman" w:hAnsi="Arial" w:cs="Times New Roman"/>
                <w:sz w:val="24"/>
                <w:szCs w:val="20"/>
                <w:lang w:val="en-GB" w:eastAsia="en-GB"/>
              </w:rPr>
              <w:t xml:space="preserve"> the following: </w:t>
            </w:r>
          </w:p>
          <w:p w14:paraId="604A535F" w14:textId="77777777" w:rsidR="00E47940" w:rsidRPr="000A7A72" w:rsidRDefault="00E47940" w:rsidP="00E47940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0A7A72">
              <w:rPr>
                <w:rFonts w:ascii="Arial" w:eastAsia="Times New Roman" w:hAnsi="Arial" w:cs="Times New Roman"/>
                <w:sz w:val="24"/>
                <w:szCs w:val="20"/>
                <w:lang w:val="en-GB" w:eastAsia="en-GB"/>
              </w:rPr>
              <w:t xml:space="preserve">solution focussed consultation / facilitation with key staff, </w:t>
            </w:r>
          </w:p>
          <w:p w14:paraId="1E6D5448" w14:textId="77777777" w:rsidR="00E47940" w:rsidRPr="000A7A72" w:rsidRDefault="00E47940" w:rsidP="00E47940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0A7A72">
              <w:rPr>
                <w:rFonts w:ascii="Arial" w:eastAsia="Times New Roman" w:hAnsi="Arial" w:cs="Times New Roman"/>
                <w:sz w:val="24"/>
                <w:szCs w:val="20"/>
                <w:lang w:val="en-GB" w:eastAsia="en-GB"/>
              </w:rPr>
              <w:t>guidance and specialist advice to key staff and senior leaders in school,</w:t>
            </w:r>
          </w:p>
          <w:p w14:paraId="63470FCB" w14:textId="77777777" w:rsidR="00E47940" w:rsidRPr="000A7A72" w:rsidRDefault="00E47940" w:rsidP="00E47940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0A7A72">
              <w:rPr>
                <w:rFonts w:ascii="Arial" w:eastAsia="Times New Roman" w:hAnsi="Arial" w:cs="Times New Roman"/>
                <w:sz w:val="24"/>
                <w:szCs w:val="20"/>
                <w:lang w:val="en-GB" w:eastAsia="en-GB"/>
              </w:rPr>
              <w:t xml:space="preserve">observation, </w:t>
            </w:r>
          </w:p>
          <w:p w14:paraId="3835BD15" w14:textId="77777777" w:rsidR="00E47940" w:rsidRPr="000A7A72" w:rsidRDefault="00E47940" w:rsidP="00E47940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0A7A72">
              <w:rPr>
                <w:rFonts w:ascii="Arial" w:eastAsia="Times New Roman" w:hAnsi="Arial" w:cs="Times New Roman"/>
                <w:sz w:val="24"/>
                <w:szCs w:val="20"/>
                <w:lang w:val="en-GB" w:eastAsia="en-GB"/>
              </w:rPr>
              <w:t xml:space="preserve">1:1 assessment, </w:t>
            </w:r>
          </w:p>
          <w:p w14:paraId="00A39C69" w14:textId="77777777" w:rsidR="00E47940" w:rsidRPr="000A7A72" w:rsidRDefault="00E47940" w:rsidP="00E47940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0A7A72">
              <w:rPr>
                <w:rFonts w:ascii="Arial" w:eastAsia="Times New Roman" w:hAnsi="Arial" w:cs="Times New Roman"/>
                <w:sz w:val="24"/>
                <w:szCs w:val="20"/>
                <w:lang w:val="en-GB" w:eastAsia="en-GB"/>
              </w:rPr>
              <w:t xml:space="preserve">modelling </w:t>
            </w:r>
          </w:p>
          <w:p w14:paraId="1A0DD78E" w14:textId="77777777" w:rsidR="00270756" w:rsidRPr="00270756" w:rsidRDefault="00E47940" w:rsidP="00E47940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0A7A72">
              <w:rPr>
                <w:rFonts w:ascii="Arial" w:eastAsia="Times New Roman" w:hAnsi="Arial" w:cs="Times New Roman"/>
                <w:sz w:val="24"/>
                <w:szCs w:val="20"/>
                <w:lang w:val="en-GB" w:eastAsia="en-GB"/>
              </w:rPr>
              <w:t>maintenance planning</w:t>
            </w:r>
          </w:p>
          <w:p w14:paraId="1FB40A17" w14:textId="07BE3556" w:rsidR="00E47940" w:rsidRPr="000A7A72" w:rsidRDefault="00270756" w:rsidP="00E47940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val="en-GB" w:eastAsia="en-GB"/>
              </w:rPr>
              <w:t>support during transition between schools/settings</w:t>
            </w:r>
            <w:r w:rsidR="00E47940" w:rsidRPr="000A7A72">
              <w:rPr>
                <w:rFonts w:ascii="Arial" w:eastAsia="Times New Roman" w:hAnsi="Arial" w:cs="Times New Roman"/>
                <w:sz w:val="24"/>
                <w:szCs w:val="20"/>
                <w:lang w:val="en-GB" w:eastAsia="en-GB"/>
              </w:rPr>
              <w:t xml:space="preserve">. </w:t>
            </w:r>
          </w:p>
          <w:p w14:paraId="58F3D2B2" w14:textId="2F20487D" w:rsidR="00E47940" w:rsidRDefault="00E47940" w:rsidP="002150D0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en-GB" w:eastAsia="en-GB"/>
              </w:rPr>
            </w:pPr>
            <w:r w:rsidRPr="000A7A72">
              <w:rPr>
                <w:rFonts w:ascii="Arial" w:eastAsia="Times New Roman" w:hAnsi="Arial" w:cs="Times New Roman"/>
                <w:sz w:val="24"/>
                <w:szCs w:val="20"/>
                <w:lang w:val="en-GB" w:eastAsia="en-GB"/>
              </w:rPr>
              <w:t xml:space="preserve">All of this will involve the multi-disciplinary </w:t>
            </w:r>
            <w:r>
              <w:rPr>
                <w:rFonts w:ascii="Arial" w:eastAsia="Times New Roman" w:hAnsi="Arial" w:cs="Times New Roman"/>
                <w:sz w:val="24"/>
                <w:szCs w:val="20"/>
                <w:lang w:val="en-GB" w:eastAsia="en-GB"/>
              </w:rPr>
              <w:t>SEN ASAP</w:t>
            </w:r>
            <w:r w:rsidRPr="000A7A72">
              <w:rPr>
                <w:rFonts w:ascii="Arial" w:eastAsia="Times New Roman" w:hAnsi="Arial" w:cs="Times New Roman"/>
                <w:sz w:val="24"/>
                <w:szCs w:val="20"/>
                <w:lang w:val="en-GB" w:eastAsia="en-GB"/>
              </w:rPr>
              <w:t xml:space="preserve"> team working alongside school </w:t>
            </w:r>
            <w:r w:rsidR="00EB397B">
              <w:rPr>
                <w:rFonts w:ascii="Arial" w:eastAsia="Times New Roman" w:hAnsi="Arial" w:cs="Times New Roman"/>
                <w:sz w:val="24"/>
                <w:szCs w:val="20"/>
                <w:lang w:val="en-GB" w:eastAsia="en-GB"/>
              </w:rPr>
              <w:t xml:space="preserve">and setting </w:t>
            </w:r>
            <w:r w:rsidRPr="000A7A72">
              <w:rPr>
                <w:rFonts w:ascii="Arial" w:eastAsia="Times New Roman" w:hAnsi="Arial" w:cs="Times New Roman"/>
                <w:sz w:val="24"/>
                <w:szCs w:val="20"/>
                <w:lang w:val="en-GB" w:eastAsia="en-GB"/>
              </w:rPr>
              <w:t xml:space="preserve">staff. The type and level of involvement will be decided on a case by case basis through the </w:t>
            </w:r>
            <w:r w:rsidR="002B7F4E">
              <w:rPr>
                <w:rFonts w:ascii="Arial" w:eastAsia="Times New Roman" w:hAnsi="Arial" w:cs="Times New Roman"/>
                <w:sz w:val="24"/>
                <w:szCs w:val="20"/>
                <w:lang w:val="en-GB" w:eastAsia="en-GB"/>
              </w:rPr>
              <w:t>SEN ASAP</w:t>
            </w:r>
            <w:r w:rsidRPr="000A7A72">
              <w:rPr>
                <w:rFonts w:ascii="Arial" w:eastAsia="Times New Roman" w:hAnsi="Arial" w:cs="Times New Roman"/>
                <w:sz w:val="24"/>
                <w:szCs w:val="20"/>
                <w:lang w:val="en-GB" w:eastAsia="en-GB"/>
              </w:rPr>
              <w:t xml:space="preserve"> </w:t>
            </w:r>
            <w:r w:rsidR="002B7F4E">
              <w:rPr>
                <w:rFonts w:ascii="Arial" w:eastAsia="Times New Roman" w:hAnsi="Arial" w:cs="Times New Roman"/>
                <w:sz w:val="24"/>
                <w:szCs w:val="20"/>
                <w:lang w:val="en-GB" w:eastAsia="en-GB"/>
              </w:rPr>
              <w:t>P</w:t>
            </w:r>
            <w:r w:rsidRPr="000A7A72">
              <w:rPr>
                <w:rFonts w:ascii="Arial" w:eastAsia="Times New Roman" w:hAnsi="Arial" w:cs="Times New Roman"/>
                <w:sz w:val="24"/>
                <w:szCs w:val="20"/>
                <w:lang w:val="en-GB" w:eastAsia="en-GB"/>
              </w:rPr>
              <w:t xml:space="preserve">anel. </w:t>
            </w:r>
          </w:p>
          <w:p w14:paraId="1CE6E0CD" w14:textId="4A0A0617" w:rsidR="00E47940" w:rsidRPr="002B7F4E" w:rsidRDefault="00E47940" w:rsidP="002150D0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en-GB" w:eastAsia="en-GB"/>
              </w:rPr>
            </w:pPr>
            <w:r w:rsidRPr="002B7F4E">
              <w:rPr>
                <w:rFonts w:ascii="Arial" w:eastAsia="Times New Roman" w:hAnsi="Arial" w:cs="Times New Roman"/>
                <w:sz w:val="24"/>
                <w:szCs w:val="20"/>
                <w:lang w:val="en-GB" w:eastAsia="en-GB"/>
              </w:rPr>
              <w:t xml:space="preserve">IPS funding is agreed for a time limited period </w:t>
            </w:r>
            <w:r w:rsidR="002B7F4E" w:rsidRPr="002B7F4E">
              <w:rPr>
                <w:rFonts w:ascii="Arial" w:eastAsia="Times New Roman" w:hAnsi="Arial" w:cs="Times New Roman"/>
                <w:sz w:val="24"/>
                <w:szCs w:val="20"/>
                <w:lang w:val="en-GB" w:eastAsia="en-GB"/>
              </w:rPr>
              <w:t>for up to</w:t>
            </w:r>
            <w:r w:rsidRPr="002B7F4E">
              <w:rPr>
                <w:rFonts w:ascii="Arial" w:eastAsia="Times New Roman" w:hAnsi="Arial" w:cs="Times New Roman"/>
                <w:sz w:val="24"/>
                <w:szCs w:val="20"/>
                <w:lang w:val="en-GB" w:eastAsia="en-GB"/>
              </w:rPr>
              <w:t xml:space="preserve"> one year </w:t>
            </w:r>
            <w:r w:rsidR="002B7F4E" w:rsidRPr="002B7F4E">
              <w:rPr>
                <w:rFonts w:ascii="Arial" w:eastAsia="Times New Roman" w:hAnsi="Arial" w:cs="Times New Roman"/>
                <w:sz w:val="24"/>
                <w:szCs w:val="20"/>
                <w:lang w:val="en-GB" w:eastAsia="en-GB"/>
              </w:rPr>
              <w:t>for a</w:t>
            </w:r>
            <w:r w:rsidRPr="002B7F4E">
              <w:rPr>
                <w:rFonts w:ascii="Arial" w:eastAsia="Times New Roman" w:hAnsi="Arial" w:cs="Times New Roman"/>
                <w:sz w:val="24"/>
                <w:szCs w:val="20"/>
                <w:lang w:val="en-GB" w:eastAsia="en-GB"/>
              </w:rPr>
              <w:t xml:space="preserve"> total of £5000.</w:t>
            </w:r>
          </w:p>
          <w:p w14:paraId="604AEA71" w14:textId="77777777" w:rsidR="00E47940" w:rsidRPr="000E4465" w:rsidRDefault="00E47940" w:rsidP="002150D0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</w:tr>
      <w:bookmarkEnd w:id="0"/>
    </w:tbl>
    <w:p w14:paraId="2A8A8AB9" w14:textId="0C8B7AB3" w:rsidR="00A56268" w:rsidRDefault="006B1633"/>
    <w:p w14:paraId="5DEEE8B0" w14:textId="7207BB26" w:rsidR="00E47940" w:rsidRPr="00E47940" w:rsidRDefault="00E47940">
      <w:pPr>
        <w:rPr>
          <w:rFonts w:ascii="Arial" w:hAnsi="Arial" w:cs="Arial"/>
          <w:sz w:val="24"/>
          <w:szCs w:val="24"/>
        </w:rPr>
      </w:pPr>
      <w:r w:rsidRPr="00E47940">
        <w:rPr>
          <w:rFonts w:ascii="Arial" w:hAnsi="Arial" w:cs="Arial"/>
          <w:sz w:val="24"/>
          <w:szCs w:val="24"/>
        </w:rPr>
        <w:t>March 2021</w:t>
      </w:r>
    </w:p>
    <w:sectPr w:rsidR="00E47940" w:rsidRPr="00E47940" w:rsidSect="00E47940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D84863"/>
    <w:multiLevelType w:val="hybridMultilevel"/>
    <w:tmpl w:val="EBDCD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4419B"/>
    <w:multiLevelType w:val="hybridMultilevel"/>
    <w:tmpl w:val="817291F8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2" w15:restartNumberingAfterBreak="0">
    <w:nsid w:val="5E5A6D6E"/>
    <w:multiLevelType w:val="hybridMultilevel"/>
    <w:tmpl w:val="C016C694"/>
    <w:lvl w:ilvl="0" w:tplc="99D6363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55B82"/>
    <w:multiLevelType w:val="hybridMultilevel"/>
    <w:tmpl w:val="B4FA69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211A00"/>
    <w:multiLevelType w:val="hybridMultilevel"/>
    <w:tmpl w:val="5BA2DD7C"/>
    <w:lvl w:ilvl="0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40"/>
    <w:rsid w:val="000D46C9"/>
    <w:rsid w:val="00270756"/>
    <w:rsid w:val="002B7F4E"/>
    <w:rsid w:val="006B1633"/>
    <w:rsid w:val="00A14802"/>
    <w:rsid w:val="00AB226E"/>
    <w:rsid w:val="00D34B11"/>
    <w:rsid w:val="00DA292B"/>
    <w:rsid w:val="00E47940"/>
    <w:rsid w:val="00EB397B"/>
    <w:rsid w:val="00EF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2A15C"/>
  <w15:chartTrackingRefBased/>
  <w15:docId w15:val="{6247F005-3A00-4379-94CC-D44C03B6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940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9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94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4794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B1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NASAP@newcastle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Gemmell, Angela</dc:creator>
  <cp:keywords/>
  <dc:description/>
  <cp:lastModifiedBy>Gemmell, Angela</cp:lastModifiedBy>
  <cp:revision>8</cp:revision>
  <dcterms:created xsi:type="dcterms:W3CDTF">2021-03-26T11:16:00Z</dcterms:created>
  <dcterms:modified xsi:type="dcterms:W3CDTF">2021-04-22T12:26:00Z</dcterms:modified>
</cp:coreProperties>
</file>